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9E400">
      <w:pPr>
        <w:spacing w:beforeLines="100" w:afterLines="100"/>
        <w:jc w:val="center"/>
        <w:rPr>
          <w:rFonts w:ascii="方正小标宋简体" w:hAnsi="仿宋" w:eastAsia="方正小标宋简体" w:cstheme="minorBidi"/>
          <w:sz w:val="44"/>
          <w:szCs w:val="44"/>
        </w:rPr>
      </w:pPr>
      <w:r>
        <w:rPr>
          <w:rFonts w:hint="eastAsia" w:ascii="方正小标宋简体" w:hAnsi="仿宋" w:eastAsia="方正小标宋简体" w:cstheme="minorBidi"/>
          <w:sz w:val="44"/>
          <w:szCs w:val="44"/>
          <w:lang w:val="en-US" w:eastAsia="zh-CN"/>
        </w:rPr>
        <w:t>全院路面修补</w:t>
      </w:r>
      <w:r>
        <w:rPr>
          <w:rFonts w:hint="eastAsia" w:ascii="方正小标宋简体" w:hAnsi="仿宋" w:eastAsia="方正小标宋简体" w:cstheme="minorBidi"/>
          <w:sz w:val="44"/>
          <w:szCs w:val="44"/>
        </w:rPr>
        <w:t>项目比价方案</w:t>
      </w:r>
    </w:p>
    <w:p w14:paraId="45B3E411">
      <w:pPr>
        <w:adjustRightInd w:val="0"/>
        <w:ind w:firstLine="600" w:firstLineChars="200"/>
        <w:rPr>
          <w:rFonts w:hint="eastAsia" w:ascii="仿宋" w:hAnsi="仿宋" w:eastAsia="仿宋"/>
          <w:sz w:val="30"/>
          <w:szCs w:val="30"/>
        </w:rPr>
      </w:pPr>
      <w:r>
        <w:rPr>
          <w:rFonts w:hint="eastAsia" w:ascii="仿宋" w:hAnsi="仿宋" w:eastAsia="仿宋"/>
          <w:sz w:val="30"/>
          <w:szCs w:val="30"/>
          <w:lang w:val="en-US" w:eastAsia="zh-CN"/>
        </w:rPr>
        <w:t>全院路面修补项目</w:t>
      </w:r>
      <w:r>
        <w:rPr>
          <w:rFonts w:hint="eastAsia" w:ascii="仿宋" w:hAnsi="仿宋" w:eastAsia="仿宋"/>
          <w:sz w:val="30"/>
          <w:szCs w:val="30"/>
        </w:rPr>
        <w:t>比价方案具体要求如下：</w:t>
      </w:r>
    </w:p>
    <w:p w14:paraId="7E8A0633">
      <w:pPr>
        <w:adjustRightInd w:val="0"/>
        <w:spacing w:line="480" w:lineRule="exact"/>
        <w:ind w:firstLine="643" w:firstLineChars="200"/>
        <w:jc w:val="left"/>
        <w:rPr>
          <w:rFonts w:ascii="仿宋" w:hAnsi="仿宋" w:eastAsia="仿宋"/>
          <w:b/>
          <w:color w:val="000000" w:themeColor="text1"/>
          <w:sz w:val="32"/>
        </w:rPr>
      </w:pPr>
      <w:r>
        <w:rPr>
          <w:rFonts w:hint="eastAsia" w:ascii="仿宋" w:hAnsi="仿宋" w:eastAsia="仿宋"/>
          <w:b/>
          <w:color w:val="000000" w:themeColor="text1"/>
          <w:sz w:val="32"/>
        </w:rPr>
        <w:t>一、项目概况及要求：</w:t>
      </w:r>
    </w:p>
    <w:p w14:paraId="53F4BBB1">
      <w:pPr>
        <w:adjustRightInd w:val="0"/>
        <w:ind w:firstLine="600" w:firstLineChars="200"/>
        <w:rPr>
          <w:rFonts w:hint="default" w:ascii="仿宋" w:hAnsi="仿宋" w:eastAsia="仿宋"/>
          <w:sz w:val="30"/>
          <w:szCs w:val="30"/>
          <w:lang w:val="en-US" w:eastAsia="zh-CN"/>
        </w:rPr>
      </w:pPr>
      <w:r>
        <w:rPr>
          <w:rFonts w:hint="eastAsia" w:ascii="仿宋" w:hAnsi="仿宋" w:eastAsia="仿宋"/>
          <w:sz w:val="30"/>
          <w:szCs w:val="30"/>
        </w:rPr>
        <w:t>1.</w:t>
      </w:r>
      <w:r>
        <w:rPr>
          <w:rFonts w:hint="eastAsia" w:ascii="仿宋" w:hAnsi="仿宋" w:eastAsia="仿宋"/>
          <w:sz w:val="30"/>
          <w:szCs w:val="30"/>
          <w:lang w:val="en-US" w:eastAsia="zh-CN"/>
        </w:rPr>
        <w:t>全院路面年久失修，部分区域存在破损、坑洼、积水等问题，影响车辆及人员通行安全和院区整体形象。现拟对全院路面进行整体出新（含基层修补、面层铺设、标线恢复等）。工作量详见清单。</w:t>
      </w:r>
    </w:p>
    <w:p w14:paraId="3E5E5556">
      <w:pPr>
        <w:adjustRightInd w:val="0"/>
        <w:ind w:firstLine="600" w:firstLineChars="200"/>
        <w:rPr>
          <w:rFonts w:ascii="仿宋" w:hAnsi="仿宋" w:eastAsia="仿宋"/>
          <w:sz w:val="30"/>
          <w:szCs w:val="30"/>
        </w:rPr>
      </w:pPr>
      <w:r>
        <w:rPr>
          <w:rFonts w:hint="eastAsia" w:ascii="仿宋" w:hAnsi="仿宋" w:eastAsia="仿宋"/>
          <w:sz w:val="30"/>
          <w:szCs w:val="30"/>
        </w:rPr>
        <w:t>2.现场自行勘察或与联系人联系勘察现场。</w:t>
      </w:r>
    </w:p>
    <w:p w14:paraId="66A3169B">
      <w:pPr>
        <w:adjustRightInd w:val="0"/>
        <w:ind w:firstLine="600" w:firstLineChars="200"/>
        <w:rPr>
          <w:rFonts w:ascii="仿宋" w:hAnsi="仿宋" w:eastAsia="仿宋"/>
          <w:sz w:val="30"/>
          <w:szCs w:val="30"/>
        </w:rPr>
      </w:pPr>
      <w:r>
        <w:rPr>
          <w:rFonts w:hint="eastAsia" w:ascii="仿宋" w:hAnsi="仿宋" w:eastAsia="仿宋"/>
          <w:sz w:val="30"/>
          <w:szCs w:val="30"/>
        </w:rPr>
        <w:t>3.施工方案由施工单位自拟，确保维修质量和施工安全。</w:t>
      </w:r>
    </w:p>
    <w:p w14:paraId="20078A9B">
      <w:pPr>
        <w:adjustRightInd w:val="0"/>
        <w:ind w:firstLine="600" w:firstLineChars="200"/>
        <w:rPr>
          <w:rFonts w:ascii="仿宋" w:hAnsi="仿宋" w:eastAsia="仿宋"/>
          <w:sz w:val="30"/>
          <w:szCs w:val="30"/>
        </w:rPr>
      </w:pPr>
      <w:r>
        <w:rPr>
          <w:rFonts w:hint="eastAsia" w:ascii="仿宋" w:hAnsi="仿宋" w:eastAsia="仿宋"/>
          <w:sz w:val="30"/>
          <w:szCs w:val="30"/>
        </w:rPr>
        <w:t>4.</w:t>
      </w:r>
      <w:r>
        <w:rPr>
          <w:rFonts w:hint="eastAsia" w:ascii="仿宋" w:hAnsi="仿宋" w:eastAsia="仿宋" w:cs="宋体"/>
          <w:kern w:val="0"/>
          <w:sz w:val="30"/>
          <w:szCs w:val="30"/>
        </w:rPr>
        <w:t>按行业规程施工，</w:t>
      </w:r>
      <w:r>
        <w:rPr>
          <w:rFonts w:hint="eastAsia" w:ascii="仿宋" w:hAnsi="仿宋" w:eastAsia="仿宋" w:cs="宋体"/>
          <w:kern w:val="0"/>
          <w:sz w:val="32"/>
          <w:szCs w:val="32"/>
        </w:rPr>
        <w:t>服从院方安排，</w:t>
      </w:r>
      <w:r>
        <w:rPr>
          <w:rFonts w:hint="eastAsia" w:ascii="仿宋" w:hAnsi="仿宋" w:eastAsia="仿宋" w:cs="宋体"/>
          <w:kern w:val="0"/>
          <w:sz w:val="30"/>
          <w:szCs w:val="30"/>
        </w:rPr>
        <w:t>质保期为2年。（以验收之日起计）</w:t>
      </w:r>
      <w:r>
        <w:rPr>
          <w:rFonts w:hint="eastAsia" w:ascii="仿宋" w:hAnsi="仿宋" w:eastAsia="仿宋"/>
          <w:sz w:val="30"/>
          <w:szCs w:val="30"/>
        </w:rPr>
        <w:t>。</w:t>
      </w:r>
    </w:p>
    <w:p w14:paraId="3A4409D6">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5.接到中标通知后，工期3天完成</w:t>
      </w:r>
      <w:r>
        <w:rPr>
          <w:rFonts w:hint="eastAsia" w:ascii="仿宋" w:hAnsi="仿宋" w:eastAsia="仿宋"/>
          <w:sz w:val="30"/>
          <w:szCs w:val="30"/>
        </w:rPr>
        <w:t>维修</w:t>
      </w:r>
      <w:r>
        <w:rPr>
          <w:rFonts w:hint="eastAsia" w:ascii="仿宋" w:hAnsi="仿宋" w:eastAsia="仿宋" w:cs="宋体"/>
          <w:kern w:val="0"/>
          <w:sz w:val="30"/>
          <w:szCs w:val="30"/>
        </w:rPr>
        <w:t>。</w:t>
      </w:r>
    </w:p>
    <w:p w14:paraId="1A68A2F6">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6.施工期间安全责任由中标单位自行负责,发生任何安全事故与招标单位无关。</w:t>
      </w:r>
    </w:p>
    <w:p w14:paraId="6E1E68F1">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7.如需登高作业，须提供施工人员在有效期内的登高作业证和身份证复印件。</w:t>
      </w:r>
    </w:p>
    <w:p w14:paraId="4D2024E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8.验收标准：包工包料，所有材料品牌规格按</w:t>
      </w:r>
      <w:r>
        <w:rPr>
          <w:rFonts w:hint="eastAsia" w:ascii="仿宋" w:hAnsi="仿宋" w:eastAsia="仿宋" w:cs="宋体"/>
          <w:kern w:val="0"/>
          <w:sz w:val="30"/>
          <w:szCs w:val="30"/>
          <w:lang w:val="en-US" w:eastAsia="zh-CN"/>
        </w:rPr>
        <w:t>医院及国家标准</w:t>
      </w:r>
      <w:r>
        <w:rPr>
          <w:rFonts w:hint="eastAsia" w:ascii="仿宋" w:hAnsi="仿宋" w:eastAsia="仿宋" w:cs="宋体"/>
          <w:kern w:val="0"/>
          <w:sz w:val="30"/>
          <w:szCs w:val="30"/>
        </w:rPr>
        <w:t>执行，不得偷换材料、漏项加价。</w:t>
      </w:r>
    </w:p>
    <w:p w14:paraId="3B9D5EE1">
      <w:pPr>
        <w:adjustRightInd w:val="0"/>
        <w:ind w:firstLine="600" w:firstLineChars="200"/>
        <w:rPr>
          <w:rFonts w:hint="eastAsia" w:ascii="仿宋" w:hAnsi="仿宋" w:eastAsia="仿宋" w:cs="宋体"/>
          <w:kern w:val="0"/>
          <w:sz w:val="30"/>
          <w:szCs w:val="30"/>
          <w:lang w:val="en-US" w:eastAsia="zh-CN"/>
        </w:rPr>
      </w:pPr>
      <w:r>
        <w:rPr>
          <w:rFonts w:hint="eastAsia" w:ascii="仿宋" w:hAnsi="仿宋" w:eastAsia="仿宋" w:cs="宋体"/>
          <w:kern w:val="0"/>
          <w:sz w:val="30"/>
          <w:szCs w:val="30"/>
        </w:rPr>
        <w:t>工程全部完工，各项施工验收合格，</w:t>
      </w:r>
      <w:r>
        <w:rPr>
          <w:rFonts w:hint="eastAsia" w:ascii="仿宋" w:hAnsi="仿宋" w:eastAsia="仿宋" w:cs="宋体"/>
          <w:kern w:val="0"/>
          <w:sz w:val="30"/>
          <w:szCs w:val="30"/>
          <w:lang w:val="en-US" w:eastAsia="zh-CN"/>
        </w:rPr>
        <w:t>满足科室要求</w:t>
      </w:r>
      <w:r>
        <w:rPr>
          <w:rFonts w:hint="eastAsia" w:ascii="仿宋" w:hAnsi="仿宋" w:eastAsia="仿宋" w:cs="宋体"/>
          <w:kern w:val="0"/>
          <w:sz w:val="30"/>
          <w:szCs w:val="30"/>
          <w:lang w:eastAsia="zh-CN"/>
        </w:rPr>
        <w:t>。</w:t>
      </w:r>
    </w:p>
    <w:p w14:paraId="698E14A2">
      <w:pPr>
        <w:adjustRightInd w:val="0"/>
        <w:spacing w:line="480" w:lineRule="exact"/>
        <w:ind w:firstLine="600" w:firstLineChars="200"/>
        <w:jc w:val="left"/>
        <w:rPr>
          <w:rFonts w:ascii="仿宋" w:hAnsi="仿宋" w:eastAsia="仿宋"/>
          <w:b/>
          <w:color w:val="000000" w:themeColor="text1"/>
          <w:sz w:val="32"/>
        </w:rPr>
      </w:pPr>
      <w:r>
        <w:rPr>
          <w:rFonts w:hint="eastAsia" w:ascii="仿宋" w:hAnsi="仿宋" w:eastAsia="仿宋" w:cs="宋体"/>
          <w:kern w:val="0"/>
          <w:sz w:val="30"/>
          <w:szCs w:val="30"/>
        </w:rPr>
        <w:t>9.费用结算：经验收合格，三个月后一次性结算。</w:t>
      </w:r>
    </w:p>
    <w:p w14:paraId="79FB9466">
      <w:pPr>
        <w:adjustRightInd w:val="0"/>
        <w:ind w:firstLine="602" w:firstLineChars="200"/>
        <w:rPr>
          <w:rFonts w:hint="eastAsia" w:ascii="仿宋" w:hAnsi="仿宋" w:eastAsia="仿宋" w:cs="宋体"/>
          <w:b/>
          <w:bCs/>
          <w:kern w:val="0"/>
          <w:sz w:val="30"/>
          <w:szCs w:val="30"/>
        </w:rPr>
      </w:pPr>
      <w:r>
        <w:rPr>
          <w:rFonts w:hint="eastAsia" w:ascii="仿宋" w:hAnsi="仿宋" w:eastAsia="仿宋" w:cs="宋体"/>
          <w:b/>
          <w:bCs/>
          <w:kern w:val="0"/>
          <w:sz w:val="30"/>
          <w:szCs w:val="30"/>
        </w:rPr>
        <w:t>二、比价方案：</w:t>
      </w:r>
    </w:p>
    <w:p w14:paraId="563E6FC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采用现场比价排序方式，一轮报价，各报价单位须提准备好营业执照、品牌授权（如有需提供）、项目报价（一次性报价），如投标人不是公司法人需提供授权委托书和投标代理人身份证复印件（授权委托书和身份证复印件均需加盖公章）用文件袋密封包装送至指定地点。</w:t>
      </w:r>
    </w:p>
    <w:p w14:paraId="08406DD1">
      <w:pPr>
        <w:adjustRightInd w:val="0"/>
        <w:spacing w:line="480" w:lineRule="exact"/>
        <w:ind w:firstLine="643" w:firstLineChars="200"/>
        <w:jc w:val="left"/>
        <w:rPr>
          <w:rFonts w:ascii="仿宋" w:hAnsi="仿宋" w:eastAsia="仿宋" w:cs="宋体"/>
          <w:b/>
          <w:color w:val="000000" w:themeColor="text1"/>
          <w:kern w:val="0"/>
          <w:sz w:val="32"/>
        </w:rPr>
      </w:pPr>
      <w:r>
        <w:rPr>
          <w:rFonts w:hint="eastAsia" w:ascii="仿宋" w:hAnsi="仿宋" w:eastAsia="仿宋" w:cs="宋体"/>
          <w:b/>
          <w:color w:val="000000" w:themeColor="text1"/>
          <w:kern w:val="0"/>
          <w:sz w:val="32"/>
        </w:rPr>
        <w:t>三、投标人资质要求：</w:t>
      </w:r>
    </w:p>
    <w:p w14:paraId="5FC45C13">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1.持有效的营业执照，经营范围包含本项目的内容；</w:t>
      </w:r>
    </w:p>
    <w:p w14:paraId="6735897E">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2.法律、行政法规规定的其他条件；</w:t>
      </w:r>
    </w:p>
    <w:p w14:paraId="290A417A">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3.本项目不接受联合体投标，不得转包、分包。</w:t>
      </w:r>
    </w:p>
    <w:p w14:paraId="296B231D">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四、资格审查方式及特殊情况说明：</w:t>
      </w:r>
    </w:p>
    <w:p w14:paraId="4F78BFA4">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本次采用资格后审方式。</w:t>
      </w:r>
    </w:p>
    <w:p w14:paraId="13EFAC4B">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1.满足询价文件实质性要求的单位数量达3家及以上的，公开询价采购，由最低报价的投标单位中标。若最低报价的投标单位有两家及以上，则现场采用二次报价方式，确定中标单位；</w:t>
      </w:r>
    </w:p>
    <w:p w14:paraId="60910831">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2.满足比价文件实质性要求的单位数量仅有2家的，则现场采用二次报价方式，确定中标单位；</w:t>
      </w:r>
    </w:p>
    <w:p w14:paraId="167DC1AF">
      <w:pPr>
        <w:adjustRightInd w:val="0"/>
        <w:spacing w:line="480" w:lineRule="exact"/>
        <w:ind w:firstLine="600" w:firstLineChars="200"/>
        <w:jc w:val="left"/>
        <w:rPr>
          <w:rFonts w:ascii="仿宋" w:hAnsi="仿宋" w:eastAsia="仿宋"/>
          <w:color w:val="000000" w:themeColor="text1"/>
          <w:sz w:val="32"/>
        </w:rPr>
      </w:pPr>
      <w:r>
        <w:rPr>
          <w:rFonts w:hint="eastAsia" w:ascii="仿宋" w:hAnsi="仿宋" w:eastAsia="仿宋"/>
          <w:sz w:val="30"/>
          <w:szCs w:val="30"/>
        </w:rPr>
        <w:t>3.满足比价文件实质性要求的单位数量仅有1家的，则现场进行谈价，确定中标单位。</w:t>
      </w:r>
    </w:p>
    <w:p w14:paraId="63F8469C">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五、项目参考价格：</w:t>
      </w:r>
    </w:p>
    <w:p w14:paraId="26212833">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项目控制价为</w:t>
      </w:r>
      <w:r>
        <w:rPr>
          <w:rFonts w:hint="eastAsia" w:ascii="仿宋" w:hAnsi="仿宋" w:eastAsia="仿宋"/>
          <w:sz w:val="30"/>
          <w:szCs w:val="30"/>
          <w:lang w:val="en-US" w:eastAsia="zh-CN"/>
        </w:rPr>
        <w:t>15000</w:t>
      </w:r>
      <w:r>
        <w:rPr>
          <w:rFonts w:hint="eastAsia" w:ascii="仿宋" w:hAnsi="仿宋" w:eastAsia="仿宋"/>
          <w:sz w:val="30"/>
          <w:szCs w:val="30"/>
        </w:rPr>
        <w:t>元，报价不得高于控制价。</w:t>
      </w:r>
    </w:p>
    <w:p w14:paraId="338DAADA">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该项目报价为一揽子包死，交钥匙工程。</w:t>
      </w:r>
    </w:p>
    <w:p w14:paraId="0EE3D02E">
      <w:pPr>
        <w:adjustRightInd w:val="0"/>
        <w:spacing w:line="480" w:lineRule="exact"/>
        <w:ind w:firstLine="640" w:firstLineChars="200"/>
        <w:jc w:val="left"/>
        <w:rPr>
          <w:rFonts w:hint="eastAsia" w:ascii="仿宋" w:hAnsi="仿宋" w:eastAsia="仿宋"/>
          <w:sz w:val="32"/>
          <w:szCs w:val="32"/>
        </w:rPr>
      </w:pPr>
    </w:p>
    <w:p w14:paraId="5BDB3372">
      <w:pPr>
        <w:adjustRightInd w:val="0"/>
        <w:spacing w:line="480" w:lineRule="exact"/>
        <w:ind w:firstLine="640" w:firstLineChars="200"/>
        <w:jc w:val="left"/>
        <w:rPr>
          <w:rFonts w:hint="eastAsia" w:ascii="仿宋" w:hAnsi="仿宋" w:eastAsia="仿宋"/>
          <w:sz w:val="32"/>
          <w:szCs w:val="32"/>
        </w:rPr>
      </w:pPr>
      <w:bookmarkStart w:id="0" w:name="_GoBack"/>
      <w:bookmarkEnd w:id="0"/>
    </w:p>
    <w:p w14:paraId="2A133593">
      <w:pPr>
        <w:adjustRightInd w:val="0"/>
        <w:spacing w:line="480" w:lineRule="exact"/>
        <w:ind w:firstLine="640" w:firstLineChars="200"/>
        <w:jc w:val="left"/>
        <w:rPr>
          <w:rFonts w:ascii="仿宋" w:hAnsi="仿宋" w:eastAsia="仿宋"/>
          <w:sz w:val="32"/>
          <w:szCs w:val="32"/>
        </w:rPr>
      </w:pPr>
      <w:r>
        <w:rPr>
          <w:rFonts w:hint="eastAsia" w:ascii="仿宋" w:hAnsi="仿宋" w:eastAsia="仿宋"/>
          <w:sz w:val="32"/>
          <w:szCs w:val="32"/>
          <w:lang w:val="en-US" w:eastAsia="zh-CN"/>
        </w:rPr>
        <w:t>工作量清单</w:t>
      </w:r>
      <w:r>
        <w:rPr>
          <w:rFonts w:hint="eastAsia" w:ascii="仿宋" w:hAnsi="仿宋" w:eastAsia="仿宋"/>
          <w:sz w:val="32"/>
          <w:szCs w:val="32"/>
        </w:rPr>
        <w:t>：</w:t>
      </w:r>
    </w:p>
    <w:tbl>
      <w:tblPr>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96"/>
        <w:gridCol w:w="1176"/>
        <w:gridCol w:w="2894"/>
        <w:gridCol w:w="696"/>
        <w:gridCol w:w="696"/>
        <w:gridCol w:w="1417"/>
        <w:gridCol w:w="947"/>
      </w:tblGrid>
      <w:tr w14:paraId="2FD51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0" w:hRule="atLeast"/>
          <w:jc w:val="center"/>
        </w:trPr>
        <w:tc>
          <w:tcPr>
            <w:tcW w:w="5000" w:type="pct"/>
            <w:gridSpan w:val="7"/>
            <w:tcBorders>
              <w:top w:val="single" w:color="000000" w:sz="4" w:space="0"/>
              <w:left w:val="single" w:color="000000" w:sz="4" w:space="0"/>
              <w:bottom w:val="single" w:color="000000" w:sz="4" w:space="0"/>
              <w:right w:val="single" w:color="000000" w:sz="4" w:space="0"/>
            </w:tcBorders>
            <w:shd w:val="clear"/>
            <w:noWrap/>
            <w:vAlign w:val="center"/>
          </w:tcPr>
          <w:p w14:paraId="12FFB9E8">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rPr>
            </w:pPr>
            <w:r>
              <w:rPr>
                <w:rFonts w:hint="eastAsia" w:ascii="仿宋" w:hAnsi="仿宋" w:eastAsia="仿宋" w:cs="仿宋"/>
                <w:i w:val="0"/>
                <w:iCs w:val="0"/>
                <w:color w:val="000000"/>
                <w:kern w:val="0"/>
                <w:sz w:val="28"/>
                <w:szCs w:val="28"/>
                <w:u w:val="none"/>
                <w:lang w:val="en-US" w:eastAsia="zh-CN" w:bidi="ar"/>
              </w:rPr>
              <w:t>全院路面修补</w:t>
            </w:r>
          </w:p>
        </w:tc>
      </w:tr>
      <w:tr w14:paraId="69F82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0" w:hRule="atLeast"/>
          <w:jc w:val="center"/>
        </w:trPr>
        <w:tc>
          <w:tcPr>
            <w:tcW w:w="408" w:type="pct"/>
            <w:tcBorders>
              <w:top w:val="single" w:color="000000" w:sz="4" w:space="0"/>
              <w:left w:val="single" w:color="000000" w:sz="4" w:space="0"/>
              <w:bottom w:val="nil"/>
              <w:right w:val="single" w:color="000000" w:sz="4" w:space="0"/>
            </w:tcBorders>
            <w:shd w:val="clear"/>
            <w:noWrap/>
            <w:vAlign w:val="center"/>
          </w:tcPr>
          <w:p w14:paraId="26DE246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序号</w:t>
            </w:r>
          </w:p>
        </w:tc>
        <w:tc>
          <w:tcPr>
            <w:tcW w:w="689" w:type="pct"/>
            <w:tcBorders>
              <w:top w:val="single" w:color="000000" w:sz="4" w:space="0"/>
              <w:left w:val="single" w:color="000000" w:sz="4" w:space="0"/>
              <w:bottom w:val="nil"/>
              <w:right w:val="single" w:color="000000" w:sz="4" w:space="0"/>
            </w:tcBorders>
            <w:shd w:val="clear"/>
            <w:noWrap/>
            <w:vAlign w:val="center"/>
          </w:tcPr>
          <w:p w14:paraId="455A671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项目名称</w:t>
            </w:r>
          </w:p>
        </w:tc>
        <w:tc>
          <w:tcPr>
            <w:tcW w:w="1700" w:type="pct"/>
            <w:tcBorders>
              <w:top w:val="single" w:color="000000" w:sz="4" w:space="0"/>
              <w:left w:val="single" w:color="000000" w:sz="4" w:space="0"/>
              <w:bottom w:val="single" w:color="000000" w:sz="4" w:space="0"/>
              <w:right w:val="single" w:color="000000" w:sz="4" w:space="0"/>
            </w:tcBorders>
            <w:shd w:val="clear"/>
            <w:noWrap/>
            <w:vAlign w:val="center"/>
          </w:tcPr>
          <w:p w14:paraId="54E7351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项目特征描述</w:t>
            </w:r>
          </w:p>
        </w:tc>
        <w:tc>
          <w:tcPr>
            <w:tcW w:w="408" w:type="pct"/>
            <w:tcBorders>
              <w:top w:val="single" w:color="000000" w:sz="4" w:space="0"/>
              <w:left w:val="single" w:color="000000" w:sz="4" w:space="0"/>
              <w:bottom w:val="single" w:color="000000" w:sz="4" w:space="0"/>
              <w:right w:val="single" w:color="000000" w:sz="4" w:space="0"/>
            </w:tcBorders>
            <w:shd w:val="clear"/>
            <w:noWrap/>
            <w:vAlign w:val="center"/>
          </w:tcPr>
          <w:p w14:paraId="3EEB226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单位</w:t>
            </w:r>
          </w:p>
        </w:tc>
        <w:tc>
          <w:tcPr>
            <w:tcW w:w="408" w:type="pct"/>
            <w:tcBorders>
              <w:top w:val="single" w:color="000000" w:sz="4" w:space="0"/>
              <w:left w:val="single" w:color="000000" w:sz="4" w:space="0"/>
              <w:bottom w:val="single" w:color="000000" w:sz="4" w:space="0"/>
              <w:right w:val="single" w:color="000000" w:sz="4" w:space="0"/>
            </w:tcBorders>
            <w:shd w:val="clear"/>
            <w:noWrap/>
            <w:vAlign w:val="center"/>
          </w:tcPr>
          <w:p w14:paraId="216F5A7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数量</w:t>
            </w:r>
          </w:p>
        </w:tc>
        <w:tc>
          <w:tcPr>
            <w:tcW w:w="830" w:type="pct"/>
            <w:tcBorders>
              <w:top w:val="single" w:color="000000" w:sz="4" w:space="0"/>
              <w:left w:val="single" w:color="000000" w:sz="4" w:space="0"/>
              <w:bottom w:val="single" w:color="000000" w:sz="4" w:space="0"/>
              <w:right w:val="single" w:color="000000" w:sz="4" w:space="0"/>
            </w:tcBorders>
            <w:shd w:val="clear"/>
            <w:noWrap/>
            <w:vAlign w:val="center"/>
          </w:tcPr>
          <w:p w14:paraId="0563B9A9">
            <w:pPr>
              <w:keepNext w:val="0"/>
              <w:keepLines w:val="0"/>
              <w:widowControl/>
              <w:suppressLineNumbers w:val="0"/>
              <w:jc w:val="center"/>
              <w:textAlignment w:val="center"/>
              <w:rPr>
                <w:rFonts w:hint="eastAsia" w:ascii="仿宋" w:hAnsi="仿宋" w:eastAsia="仿宋" w:cs="仿宋"/>
              </w:rPr>
            </w:pPr>
            <w:r>
              <w:rPr>
                <w:rFonts w:hint="eastAsia" w:ascii="仿宋" w:hAnsi="仿宋" w:eastAsia="仿宋" w:cs="仿宋"/>
                <w:i w:val="0"/>
                <w:iCs w:val="0"/>
                <w:color w:val="000000"/>
                <w:kern w:val="0"/>
                <w:sz w:val="24"/>
                <w:szCs w:val="24"/>
                <w:u w:val="none"/>
                <w:lang w:val="en-US" w:eastAsia="zh-CN" w:bidi="ar"/>
              </w:rPr>
              <w:t>单价（元）</w:t>
            </w:r>
          </w:p>
        </w:tc>
        <w:tc>
          <w:tcPr>
            <w:tcW w:w="553" w:type="pct"/>
            <w:tcBorders>
              <w:top w:val="single" w:color="000000" w:sz="4" w:space="0"/>
              <w:left w:val="single" w:color="000000" w:sz="4" w:space="0"/>
              <w:bottom w:val="single" w:color="000000" w:sz="4" w:space="0"/>
              <w:right w:val="single" w:color="000000" w:sz="4" w:space="0"/>
            </w:tcBorders>
            <w:shd w:val="clear"/>
            <w:vAlign w:val="center"/>
          </w:tcPr>
          <w:p w14:paraId="27C9A87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小计（元）</w:t>
            </w:r>
          </w:p>
        </w:tc>
      </w:tr>
      <w:tr w14:paraId="6A275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0" w:hRule="atLeast"/>
          <w:jc w:val="center"/>
        </w:trPr>
        <w:tc>
          <w:tcPr>
            <w:tcW w:w="408" w:type="pct"/>
            <w:tcBorders>
              <w:top w:val="single" w:color="000000" w:sz="4" w:space="0"/>
              <w:left w:val="single" w:color="000000" w:sz="4" w:space="0"/>
              <w:bottom w:val="nil"/>
              <w:right w:val="single" w:color="000000" w:sz="4" w:space="0"/>
            </w:tcBorders>
            <w:shd w:val="clear"/>
            <w:noWrap/>
            <w:vAlign w:val="center"/>
          </w:tcPr>
          <w:p w14:paraId="32B38FD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89" w:type="pct"/>
            <w:tcBorders>
              <w:top w:val="single" w:color="000000" w:sz="4" w:space="0"/>
              <w:left w:val="single" w:color="000000" w:sz="4" w:space="0"/>
              <w:bottom w:val="nil"/>
              <w:right w:val="single" w:color="000000" w:sz="4" w:space="0"/>
            </w:tcBorders>
            <w:shd w:val="clear"/>
            <w:noWrap/>
            <w:vAlign w:val="center"/>
          </w:tcPr>
          <w:p w14:paraId="2E84BBE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围挡</w:t>
            </w:r>
          </w:p>
        </w:tc>
        <w:tc>
          <w:tcPr>
            <w:tcW w:w="1700" w:type="pct"/>
            <w:tcBorders>
              <w:top w:val="single" w:color="000000" w:sz="4" w:space="0"/>
              <w:left w:val="single" w:color="000000" w:sz="4" w:space="0"/>
              <w:bottom w:val="single" w:color="000000" w:sz="4" w:space="0"/>
              <w:right w:val="single" w:color="000000" w:sz="4" w:space="0"/>
            </w:tcBorders>
            <w:shd w:val="clear"/>
            <w:noWrap/>
            <w:vAlign w:val="center"/>
          </w:tcPr>
          <w:p w14:paraId="5872D8E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1、井盖周围围挡</w:t>
            </w:r>
          </w:p>
        </w:tc>
        <w:tc>
          <w:tcPr>
            <w:tcW w:w="408" w:type="pct"/>
            <w:tcBorders>
              <w:top w:val="single" w:color="000000" w:sz="4" w:space="0"/>
              <w:left w:val="single" w:color="000000" w:sz="4" w:space="0"/>
              <w:bottom w:val="single" w:color="000000" w:sz="4" w:space="0"/>
              <w:right w:val="single" w:color="000000" w:sz="4" w:space="0"/>
            </w:tcBorders>
            <w:shd w:val="clear"/>
            <w:noWrap/>
            <w:vAlign w:val="center"/>
          </w:tcPr>
          <w:p w14:paraId="5FE7F184">
            <w:pPr>
              <w:keepNext w:val="0"/>
              <w:keepLines w:val="0"/>
              <w:widowControl/>
              <w:suppressLineNumbers w:val="0"/>
              <w:jc w:val="center"/>
              <w:textAlignment w:val="center"/>
              <w:rPr>
                <w:rFonts w:hint="eastAsia" w:ascii="仿宋" w:hAnsi="仿宋" w:eastAsia="仿宋" w:cs="仿宋"/>
              </w:rPr>
            </w:pPr>
            <w:r>
              <w:rPr>
                <w:rFonts w:hint="eastAsia" w:ascii="仿宋" w:hAnsi="仿宋" w:eastAsia="仿宋" w:cs="仿宋"/>
                <w:i w:val="0"/>
                <w:iCs w:val="0"/>
                <w:color w:val="000000"/>
                <w:kern w:val="0"/>
                <w:sz w:val="24"/>
                <w:szCs w:val="24"/>
                <w:u w:val="none"/>
                <w:lang w:val="en-US" w:eastAsia="zh-CN" w:bidi="ar"/>
              </w:rPr>
              <w:t>项</w:t>
            </w:r>
          </w:p>
        </w:tc>
        <w:tc>
          <w:tcPr>
            <w:tcW w:w="408" w:type="pct"/>
            <w:tcBorders>
              <w:top w:val="single" w:color="000000" w:sz="4" w:space="0"/>
              <w:left w:val="single" w:color="000000" w:sz="4" w:space="0"/>
              <w:bottom w:val="single" w:color="000000" w:sz="4" w:space="0"/>
              <w:right w:val="single" w:color="000000" w:sz="4" w:space="0"/>
            </w:tcBorders>
            <w:shd w:val="clear"/>
            <w:noWrap/>
            <w:vAlign w:val="center"/>
          </w:tcPr>
          <w:p w14:paraId="4C9E52DB">
            <w:pPr>
              <w:keepNext w:val="0"/>
              <w:keepLines w:val="0"/>
              <w:widowControl/>
              <w:suppressLineNumbers w:val="0"/>
              <w:jc w:val="center"/>
              <w:textAlignment w:val="center"/>
              <w:rPr>
                <w:rFonts w:hint="eastAsia" w:ascii="仿宋" w:hAnsi="仿宋" w:eastAsia="仿宋" w:cs="仿宋"/>
              </w:rPr>
            </w:pPr>
            <w:r>
              <w:rPr>
                <w:rFonts w:hint="eastAsia" w:ascii="仿宋" w:hAnsi="仿宋" w:eastAsia="仿宋" w:cs="仿宋"/>
                <w:i w:val="0"/>
                <w:iCs w:val="0"/>
                <w:color w:val="000000"/>
                <w:kern w:val="0"/>
                <w:sz w:val="24"/>
                <w:szCs w:val="24"/>
                <w:u w:val="none"/>
                <w:lang w:val="en-US" w:eastAsia="zh-CN" w:bidi="ar"/>
              </w:rPr>
              <w:t>1</w:t>
            </w:r>
          </w:p>
        </w:tc>
        <w:tc>
          <w:tcPr>
            <w:tcW w:w="830" w:type="pct"/>
            <w:tcBorders>
              <w:top w:val="single" w:color="000000" w:sz="4" w:space="0"/>
              <w:left w:val="single" w:color="000000" w:sz="4" w:space="0"/>
              <w:bottom w:val="single" w:color="000000" w:sz="4" w:space="0"/>
              <w:right w:val="single" w:color="000000" w:sz="4" w:space="0"/>
            </w:tcBorders>
            <w:shd w:val="clear"/>
            <w:noWrap/>
            <w:vAlign w:val="center"/>
          </w:tcPr>
          <w:p w14:paraId="3C059FD9">
            <w:pPr>
              <w:keepNext w:val="0"/>
              <w:keepLines w:val="0"/>
              <w:widowControl/>
              <w:suppressLineNumbers w:val="0"/>
              <w:jc w:val="center"/>
              <w:textAlignment w:val="center"/>
              <w:rPr>
                <w:rFonts w:hint="eastAsia" w:ascii="仿宋" w:hAnsi="仿宋" w:eastAsia="仿宋" w:cs="仿宋"/>
              </w:rPr>
            </w:pPr>
          </w:p>
        </w:tc>
        <w:tc>
          <w:tcPr>
            <w:tcW w:w="553" w:type="pct"/>
            <w:tcBorders>
              <w:top w:val="single" w:color="000000" w:sz="4" w:space="0"/>
              <w:left w:val="single" w:color="000000" w:sz="4" w:space="0"/>
              <w:bottom w:val="single" w:color="000000" w:sz="4" w:space="0"/>
              <w:right w:val="single" w:color="000000" w:sz="4" w:space="0"/>
            </w:tcBorders>
            <w:shd w:val="clear"/>
            <w:vAlign w:val="center"/>
          </w:tcPr>
          <w:p w14:paraId="454816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73246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0" w:hRule="atLeast"/>
          <w:jc w:val="center"/>
        </w:trPr>
        <w:tc>
          <w:tcPr>
            <w:tcW w:w="408" w:type="pct"/>
            <w:tcBorders>
              <w:top w:val="single" w:color="000000" w:sz="4" w:space="0"/>
              <w:left w:val="single" w:color="000000" w:sz="4" w:space="0"/>
              <w:bottom w:val="single" w:color="000000" w:sz="4" w:space="0"/>
              <w:right w:val="single" w:color="000000" w:sz="4" w:space="0"/>
            </w:tcBorders>
            <w:shd w:val="clear"/>
            <w:noWrap/>
            <w:vAlign w:val="center"/>
          </w:tcPr>
          <w:p w14:paraId="62ACDF5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89" w:type="pct"/>
            <w:tcBorders>
              <w:top w:val="single" w:color="000000" w:sz="4" w:space="0"/>
              <w:left w:val="single" w:color="000000" w:sz="4" w:space="0"/>
              <w:bottom w:val="single" w:color="000000" w:sz="4" w:space="0"/>
              <w:right w:val="single" w:color="000000" w:sz="4" w:space="0"/>
            </w:tcBorders>
            <w:shd w:val="clear"/>
            <w:vAlign w:val="center"/>
          </w:tcPr>
          <w:p w14:paraId="2700C1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拆除</w:t>
            </w:r>
          </w:p>
        </w:tc>
        <w:tc>
          <w:tcPr>
            <w:tcW w:w="1700" w:type="pct"/>
            <w:tcBorders>
              <w:top w:val="single" w:color="000000" w:sz="4" w:space="0"/>
              <w:left w:val="single" w:color="000000" w:sz="4" w:space="0"/>
              <w:bottom w:val="nil"/>
              <w:right w:val="single" w:color="000000" w:sz="4" w:space="0"/>
            </w:tcBorders>
            <w:shd w:val="clear"/>
            <w:vAlign w:val="center"/>
          </w:tcPr>
          <w:p w14:paraId="35468ED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1、拆除原有井盖。</w:t>
            </w:r>
          </w:p>
        </w:tc>
        <w:tc>
          <w:tcPr>
            <w:tcW w:w="408" w:type="pct"/>
            <w:tcBorders>
              <w:top w:val="single" w:color="000000" w:sz="4" w:space="0"/>
              <w:left w:val="single" w:color="000000" w:sz="4" w:space="0"/>
              <w:bottom w:val="nil"/>
              <w:right w:val="single" w:color="000000" w:sz="4" w:space="0"/>
            </w:tcBorders>
            <w:shd w:val="clear"/>
            <w:vAlign w:val="center"/>
          </w:tcPr>
          <w:p w14:paraId="42F67033">
            <w:pPr>
              <w:keepNext w:val="0"/>
              <w:keepLines w:val="0"/>
              <w:widowControl/>
              <w:suppressLineNumbers w:val="0"/>
              <w:jc w:val="center"/>
              <w:textAlignment w:val="center"/>
              <w:rPr>
                <w:rFonts w:hint="eastAsia" w:ascii="仿宋" w:hAnsi="仿宋" w:eastAsia="仿宋" w:cs="仿宋"/>
              </w:rPr>
            </w:pPr>
            <w:r>
              <w:rPr>
                <w:rFonts w:hint="eastAsia" w:ascii="仿宋" w:hAnsi="仿宋" w:eastAsia="仿宋" w:cs="仿宋"/>
                <w:i w:val="0"/>
                <w:iCs w:val="0"/>
                <w:color w:val="000000"/>
                <w:kern w:val="0"/>
                <w:sz w:val="24"/>
                <w:szCs w:val="24"/>
                <w:u w:val="none"/>
                <w:lang w:val="en-US" w:eastAsia="zh-CN" w:bidi="ar"/>
              </w:rPr>
              <w:t>套</w:t>
            </w:r>
          </w:p>
        </w:tc>
        <w:tc>
          <w:tcPr>
            <w:tcW w:w="408" w:type="pct"/>
            <w:tcBorders>
              <w:top w:val="single" w:color="000000" w:sz="4" w:space="0"/>
              <w:left w:val="single" w:color="000000" w:sz="4" w:space="0"/>
              <w:bottom w:val="nil"/>
              <w:right w:val="single" w:color="000000" w:sz="4" w:space="0"/>
            </w:tcBorders>
            <w:shd w:val="clear"/>
            <w:vAlign w:val="center"/>
          </w:tcPr>
          <w:p w14:paraId="6AD92753">
            <w:pPr>
              <w:keepNext w:val="0"/>
              <w:keepLines w:val="0"/>
              <w:widowControl/>
              <w:suppressLineNumbers w:val="0"/>
              <w:jc w:val="center"/>
              <w:textAlignment w:val="center"/>
              <w:rPr>
                <w:rFonts w:hint="eastAsia" w:ascii="仿宋" w:hAnsi="仿宋" w:eastAsia="仿宋" w:cs="仿宋"/>
              </w:rPr>
            </w:pPr>
            <w:r>
              <w:rPr>
                <w:rFonts w:hint="eastAsia" w:ascii="仿宋" w:hAnsi="仿宋" w:eastAsia="仿宋" w:cs="仿宋"/>
                <w:i w:val="0"/>
                <w:iCs w:val="0"/>
                <w:color w:val="000000"/>
                <w:kern w:val="0"/>
                <w:sz w:val="24"/>
                <w:szCs w:val="24"/>
                <w:u w:val="none"/>
                <w:lang w:val="en-US" w:eastAsia="zh-CN" w:bidi="ar"/>
              </w:rPr>
              <w:t>3</w:t>
            </w:r>
          </w:p>
        </w:tc>
        <w:tc>
          <w:tcPr>
            <w:tcW w:w="830" w:type="pct"/>
            <w:tcBorders>
              <w:top w:val="single" w:color="000000" w:sz="4" w:space="0"/>
              <w:left w:val="single" w:color="000000" w:sz="4" w:space="0"/>
              <w:bottom w:val="nil"/>
              <w:right w:val="single" w:color="000000" w:sz="4" w:space="0"/>
            </w:tcBorders>
            <w:shd w:val="clear"/>
            <w:vAlign w:val="center"/>
          </w:tcPr>
          <w:p w14:paraId="00A321F2">
            <w:pPr>
              <w:keepNext w:val="0"/>
              <w:keepLines w:val="0"/>
              <w:widowControl/>
              <w:suppressLineNumbers w:val="0"/>
              <w:jc w:val="center"/>
              <w:textAlignment w:val="center"/>
              <w:rPr>
                <w:rFonts w:hint="eastAsia" w:ascii="仿宋" w:hAnsi="仿宋" w:eastAsia="仿宋" w:cs="仿宋"/>
              </w:rPr>
            </w:pPr>
          </w:p>
        </w:tc>
        <w:tc>
          <w:tcPr>
            <w:tcW w:w="553" w:type="pct"/>
            <w:tcBorders>
              <w:top w:val="single" w:color="000000" w:sz="4" w:space="0"/>
              <w:left w:val="single" w:color="000000" w:sz="4" w:space="0"/>
              <w:bottom w:val="nil"/>
              <w:right w:val="single" w:color="000000" w:sz="4" w:space="0"/>
            </w:tcBorders>
            <w:shd w:val="clear"/>
            <w:noWrap/>
            <w:vAlign w:val="center"/>
          </w:tcPr>
          <w:p w14:paraId="244DE3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3DCF5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0" w:hRule="atLeast"/>
          <w:jc w:val="center"/>
        </w:trPr>
        <w:tc>
          <w:tcPr>
            <w:tcW w:w="408" w:type="pct"/>
            <w:vMerge w:val="restart"/>
            <w:tcBorders>
              <w:top w:val="nil"/>
              <w:left w:val="single" w:color="000000" w:sz="4" w:space="0"/>
              <w:right w:val="single" w:color="000000" w:sz="4" w:space="0"/>
            </w:tcBorders>
            <w:shd w:val="clear"/>
            <w:noWrap/>
            <w:vAlign w:val="center"/>
          </w:tcPr>
          <w:p w14:paraId="723E5A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689" w:type="pct"/>
            <w:vMerge w:val="restart"/>
            <w:tcBorders>
              <w:top w:val="nil"/>
              <w:left w:val="single" w:color="000000" w:sz="4" w:space="0"/>
              <w:right w:val="single" w:color="000000" w:sz="4" w:space="0"/>
            </w:tcBorders>
            <w:shd w:val="clear"/>
            <w:vAlign w:val="center"/>
          </w:tcPr>
          <w:p w14:paraId="167EFE1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井盖安装</w:t>
            </w:r>
          </w:p>
        </w:tc>
        <w:tc>
          <w:tcPr>
            <w:tcW w:w="1700" w:type="pct"/>
            <w:tcBorders>
              <w:top w:val="single" w:color="000000" w:sz="4" w:space="0"/>
              <w:left w:val="single" w:color="000000" w:sz="4" w:space="0"/>
              <w:bottom w:val="nil"/>
              <w:right w:val="single" w:color="000000" w:sz="4" w:space="0"/>
            </w:tcBorders>
            <w:shd w:val="clear"/>
            <w:vAlign w:val="center"/>
          </w:tcPr>
          <w:p w14:paraId="10A4D28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1、路面安装球墨铸铁重型井盖（规格500*500）</w:t>
            </w:r>
          </w:p>
        </w:tc>
        <w:tc>
          <w:tcPr>
            <w:tcW w:w="408" w:type="pct"/>
            <w:tcBorders>
              <w:top w:val="single" w:color="000000" w:sz="4" w:space="0"/>
              <w:left w:val="single" w:color="000000" w:sz="4" w:space="0"/>
              <w:bottom w:val="nil"/>
              <w:right w:val="single" w:color="000000" w:sz="4" w:space="0"/>
            </w:tcBorders>
            <w:shd w:val="clear"/>
            <w:vAlign w:val="center"/>
          </w:tcPr>
          <w:p w14:paraId="6D2207E6">
            <w:pPr>
              <w:keepNext w:val="0"/>
              <w:keepLines w:val="0"/>
              <w:widowControl/>
              <w:suppressLineNumbers w:val="0"/>
              <w:jc w:val="center"/>
              <w:textAlignment w:val="center"/>
              <w:rPr>
                <w:rFonts w:hint="eastAsia" w:ascii="仿宋" w:hAnsi="仿宋" w:eastAsia="仿宋" w:cs="仿宋"/>
              </w:rPr>
            </w:pPr>
            <w:r>
              <w:rPr>
                <w:rFonts w:hint="eastAsia" w:ascii="仿宋" w:hAnsi="仿宋" w:eastAsia="仿宋" w:cs="仿宋"/>
                <w:i w:val="0"/>
                <w:iCs w:val="0"/>
                <w:color w:val="000000"/>
                <w:kern w:val="0"/>
                <w:sz w:val="24"/>
                <w:szCs w:val="24"/>
                <w:u w:val="none"/>
                <w:lang w:val="en-US" w:eastAsia="zh-CN" w:bidi="ar"/>
              </w:rPr>
              <w:t>套</w:t>
            </w:r>
          </w:p>
        </w:tc>
        <w:tc>
          <w:tcPr>
            <w:tcW w:w="408" w:type="pct"/>
            <w:tcBorders>
              <w:top w:val="single" w:color="000000" w:sz="4" w:space="0"/>
              <w:left w:val="single" w:color="000000" w:sz="4" w:space="0"/>
              <w:bottom w:val="nil"/>
              <w:right w:val="single" w:color="000000" w:sz="4" w:space="0"/>
            </w:tcBorders>
            <w:shd w:val="clear"/>
            <w:vAlign w:val="center"/>
          </w:tcPr>
          <w:p w14:paraId="481D0ECF">
            <w:pPr>
              <w:keepNext w:val="0"/>
              <w:keepLines w:val="0"/>
              <w:widowControl/>
              <w:suppressLineNumbers w:val="0"/>
              <w:jc w:val="center"/>
              <w:textAlignment w:val="center"/>
              <w:rPr>
                <w:rFonts w:hint="eastAsia" w:ascii="仿宋" w:hAnsi="仿宋" w:eastAsia="仿宋" w:cs="仿宋"/>
              </w:rPr>
            </w:pPr>
            <w:r>
              <w:rPr>
                <w:rFonts w:hint="eastAsia" w:ascii="仿宋" w:hAnsi="仿宋" w:eastAsia="仿宋" w:cs="仿宋"/>
                <w:i w:val="0"/>
                <w:iCs w:val="0"/>
                <w:color w:val="000000"/>
                <w:kern w:val="0"/>
                <w:sz w:val="24"/>
                <w:szCs w:val="24"/>
                <w:u w:val="none"/>
                <w:lang w:val="en-US" w:eastAsia="zh-CN" w:bidi="ar"/>
              </w:rPr>
              <w:t>1</w:t>
            </w:r>
          </w:p>
        </w:tc>
        <w:tc>
          <w:tcPr>
            <w:tcW w:w="830" w:type="pct"/>
            <w:tcBorders>
              <w:top w:val="single" w:color="000000" w:sz="4" w:space="0"/>
              <w:left w:val="single" w:color="000000" w:sz="4" w:space="0"/>
              <w:bottom w:val="nil"/>
              <w:right w:val="single" w:color="000000" w:sz="4" w:space="0"/>
            </w:tcBorders>
            <w:shd w:val="clear"/>
            <w:vAlign w:val="center"/>
          </w:tcPr>
          <w:p w14:paraId="5CF528E7">
            <w:pPr>
              <w:keepNext w:val="0"/>
              <w:keepLines w:val="0"/>
              <w:widowControl/>
              <w:suppressLineNumbers w:val="0"/>
              <w:jc w:val="center"/>
              <w:textAlignment w:val="center"/>
              <w:rPr>
                <w:rFonts w:hint="eastAsia" w:ascii="仿宋" w:hAnsi="仿宋" w:eastAsia="仿宋" w:cs="仿宋"/>
              </w:rPr>
            </w:pPr>
          </w:p>
        </w:tc>
        <w:tc>
          <w:tcPr>
            <w:tcW w:w="553" w:type="pct"/>
            <w:tcBorders>
              <w:top w:val="single" w:color="000000" w:sz="4" w:space="0"/>
              <w:left w:val="single" w:color="000000" w:sz="4" w:space="0"/>
              <w:bottom w:val="nil"/>
              <w:right w:val="single" w:color="000000" w:sz="4" w:space="0"/>
            </w:tcBorders>
            <w:shd w:val="clear"/>
            <w:noWrap/>
            <w:vAlign w:val="center"/>
          </w:tcPr>
          <w:p w14:paraId="450DCB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37688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0" w:hRule="atLeast"/>
          <w:jc w:val="center"/>
        </w:trPr>
        <w:tc>
          <w:tcPr>
            <w:tcW w:w="408" w:type="pct"/>
            <w:vMerge w:val="continue"/>
            <w:tcBorders>
              <w:left w:val="single" w:color="000000" w:sz="4" w:space="0"/>
              <w:right w:val="single" w:color="000000" w:sz="4" w:space="0"/>
            </w:tcBorders>
            <w:shd w:val="clear"/>
            <w:noWrap/>
            <w:vAlign w:val="center"/>
          </w:tcPr>
          <w:p w14:paraId="5B6A655B">
            <w:pPr>
              <w:jc w:val="center"/>
              <w:rPr>
                <w:rFonts w:hint="eastAsia" w:ascii="仿宋" w:hAnsi="仿宋" w:eastAsia="仿宋" w:cs="仿宋"/>
                <w:i w:val="0"/>
                <w:iCs w:val="0"/>
                <w:color w:val="000000"/>
                <w:sz w:val="24"/>
                <w:szCs w:val="24"/>
                <w:u w:val="none"/>
              </w:rPr>
            </w:pPr>
          </w:p>
        </w:tc>
        <w:tc>
          <w:tcPr>
            <w:tcW w:w="689" w:type="pct"/>
            <w:vMerge w:val="continue"/>
            <w:tcBorders>
              <w:left w:val="single" w:color="000000" w:sz="4" w:space="0"/>
              <w:right w:val="single" w:color="000000" w:sz="4" w:space="0"/>
            </w:tcBorders>
            <w:shd w:val="clear"/>
            <w:vAlign w:val="center"/>
          </w:tcPr>
          <w:p w14:paraId="5F65C7D5">
            <w:pPr>
              <w:jc w:val="center"/>
              <w:rPr>
                <w:rFonts w:hint="eastAsia" w:ascii="仿宋" w:hAnsi="仿宋" w:eastAsia="仿宋" w:cs="仿宋"/>
                <w:i w:val="0"/>
                <w:iCs w:val="0"/>
                <w:color w:val="000000"/>
                <w:sz w:val="24"/>
                <w:szCs w:val="24"/>
                <w:u w:val="none"/>
              </w:rPr>
            </w:pPr>
          </w:p>
        </w:tc>
        <w:tc>
          <w:tcPr>
            <w:tcW w:w="1700" w:type="pct"/>
            <w:tcBorders>
              <w:top w:val="single" w:color="000000" w:sz="4" w:space="0"/>
              <w:left w:val="single" w:color="000000" w:sz="4" w:space="0"/>
              <w:bottom w:val="nil"/>
              <w:right w:val="single" w:color="000000" w:sz="4" w:space="0"/>
            </w:tcBorders>
            <w:shd w:val="clear"/>
            <w:vAlign w:val="center"/>
          </w:tcPr>
          <w:p w14:paraId="476B39E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2、路面安装球墨铸铁重型井盖（规格900*900）</w:t>
            </w:r>
          </w:p>
        </w:tc>
        <w:tc>
          <w:tcPr>
            <w:tcW w:w="408" w:type="pct"/>
            <w:tcBorders>
              <w:top w:val="single" w:color="000000" w:sz="4" w:space="0"/>
              <w:left w:val="single" w:color="000000" w:sz="4" w:space="0"/>
              <w:bottom w:val="nil"/>
              <w:right w:val="single" w:color="000000" w:sz="4" w:space="0"/>
            </w:tcBorders>
            <w:shd w:val="clear"/>
            <w:vAlign w:val="center"/>
          </w:tcPr>
          <w:p w14:paraId="05B8F8DE">
            <w:pPr>
              <w:keepNext w:val="0"/>
              <w:keepLines w:val="0"/>
              <w:widowControl/>
              <w:suppressLineNumbers w:val="0"/>
              <w:jc w:val="center"/>
              <w:textAlignment w:val="center"/>
              <w:rPr>
                <w:rFonts w:hint="eastAsia" w:ascii="仿宋" w:hAnsi="仿宋" w:eastAsia="仿宋" w:cs="仿宋"/>
              </w:rPr>
            </w:pPr>
            <w:r>
              <w:rPr>
                <w:rFonts w:hint="eastAsia" w:ascii="仿宋" w:hAnsi="仿宋" w:eastAsia="仿宋" w:cs="仿宋"/>
                <w:i w:val="0"/>
                <w:iCs w:val="0"/>
                <w:color w:val="000000"/>
                <w:kern w:val="0"/>
                <w:sz w:val="24"/>
                <w:szCs w:val="24"/>
                <w:u w:val="none"/>
                <w:lang w:val="en-US" w:eastAsia="zh-CN" w:bidi="ar"/>
              </w:rPr>
              <w:t>套</w:t>
            </w:r>
          </w:p>
        </w:tc>
        <w:tc>
          <w:tcPr>
            <w:tcW w:w="408" w:type="pct"/>
            <w:tcBorders>
              <w:top w:val="single" w:color="000000" w:sz="4" w:space="0"/>
              <w:left w:val="single" w:color="000000" w:sz="4" w:space="0"/>
              <w:bottom w:val="nil"/>
              <w:right w:val="single" w:color="000000" w:sz="4" w:space="0"/>
            </w:tcBorders>
            <w:shd w:val="clear"/>
            <w:vAlign w:val="center"/>
          </w:tcPr>
          <w:p w14:paraId="52914841">
            <w:pPr>
              <w:keepNext w:val="0"/>
              <w:keepLines w:val="0"/>
              <w:widowControl/>
              <w:suppressLineNumbers w:val="0"/>
              <w:jc w:val="center"/>
              <w:textAlignment w:val="center"/>
              <w:rPr>
                <w:rFonts w:hint="eastAsia" w:ascii="仿宋" w:hAnsi="仿宋" w:eastAsia="仿宋" w:cs="仿宋"/>
              </w:rPr>
            </w:pPr>
            <w:r>
              <w:rPr>
                <w:rFonts w:hint="eastAsia" w:ascii="仿宋" w:hAnsi="仿宋" w:eastAsia="仿宋" w:cs="仿宋"/>
                <w:i w:val="0"/>
                <w:iCs w:val="0"/>
                <w:color w:val="000000"/>
                <w:kern w:val="0"/>
                <w:sz w:val="24"/>
                <w:szCs w:val="24"/>
                <w:u w:val="none"/>
                <w:lang w:val="en-US" w:eastAsia="zh-CN" w:bidi="ar"/>
              </w:rPr>
              <w:t>1</w:t>
            </w:r>
          </w:p>
        </w:tc>
        <w:tc>
          <w:tcPr>
            <w:tcW w:w="830" w:type="pct"/>
            <w:tcBorders>
              <w:top w:val="single" w:color="000000" w:sz="4" w:space="0"/>
              <w:left w:val="single" w:color="000000" w:sz="4" w:space="0"/>
              <w:bottom w:val="nil"/>
              <w:right w:val="single" w:color="000000" w:sz="4" w:space="0"/>
            </w:tcBorders>
            <w:shd w:val="clear"/>
            <w:vAlign w:val="center"/>
          </w:tcPr>
          <w:p w14:paraId="4DE3B768">
            <w:pPr>
              <w:keepNext w:val="0"/>
              <w:keepLines w:val="0"/>
              <w:widowControl/>
              <w:suppressLineNumbers w:val="0"/>
              <w:jc w:val="center"/>
              <w:textAlignment w:val="center"/>
              <w:rPr>
                <w:rFonts w:hint="eastAsia" w:ascii="仿宋" w:hAnsi="仿宋" w:eastAsia="仿宋" w:cs="仿宋"/>
              </w:rPr>
            </w:pPr>
          </w:p>
        </w:tc>
        <w:tc>
          <w:tcPr>
            <w:tcW w:w="553" w:type="pct"/>
            <w:tcBorders>
              <w:top w:val="single" w:color="000000" w:sz="4" w:space="0"/>
              <w:left w:val="single" w:color="000000" w:sz="4" w:space="0"/>
              <w:bottom w:val="nil"/>
              <w:right w:val="single" w:color="000000" w:sz="4" w:space="0"/>
            </w:tcBorders>
            <w:shd w:val="clear"/>
            <w:vAlign w:val="center"/>
          </w:tcPr>
          <w:p w14:paraId="344999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65D65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38" w:hRule="atLeast"/>
          <w:jc w:val="center"/>
        </w:trPr>
        <w:tc>
          <w:tcPr>
            <w:tcW w:w="408" w:type="pct"/>
            <w:vMerge w:val="continue"/>
            <w:tcBorders>
              <w:left w:val="single" w:color="000000" w:sz="4" w:space="0"/>
              <w:right w:val="single" w:color="000000" w:sz="4" w:space="0"/>
            </w:tcBorders>
            <w:shd w:val="clear"/>
            <w:noWrap/>
            <w:vAlign w:val="center"/>
          </w:tcPr>
          <w:p w14:paraId="175B7927">
            <w:pPr>
              <w:jc w:val="center"/>
              <w:rPr>
                <w:rFonts w:hint="eastAsia" w:ascii="仿宋" w:hAnsi="仿宋" w:eastAsia="仿宋" w:cs="仿宋"/>
                <w:i w:val="0"/>
                <w:iCs w:val="0"/>
                <w:color w:val="000000"/>
                <w:sz w:val="24"/>
                <w:szCs w:val="24"/>
                <w:u w:val="none"/>
              </w:rPr>
            </w:pPr>
          </w:p>
        </w:tc>
        <w:tc>
          <w:tcPr>
            <w:tcW w:w="689" w:type="pct"/>
            <w:vMerge w:val="continue"/>
            <w:tcBorders>
              <w:left w:val="single" w:color="000000" w:sz="4" w:space="0"/>
              <w:right w:val="single" w:color="000000" w:sz="4" w:space="0"/>
            </w:tcBorders>
            <w:shd w:val="clear"/>
            <w:vAlign w:val="center"/>
          </w:tcPr>
          <w:p w14:paraId="3157A870">
            <w:pPr>
              <w:jc w:val="center"/>
              <w:rPr>
                <w:rFonts w:hint="eastAsia" w:ascii="仿宋" w:hAnsi="仿宋" w:eastAsia="仿宋" w:cs="仿宋"/>
                <w:i w:val="0"/>
                <w:iCs w:val="0"/>
                <w:color w:val="000000"/>
                <w:sz w:val="24"/>
                <w:szCs w:val="24"/>
                <w:u w:val="none"/>
              </w:rPr>
            </w:pPr>
          </w:p>
        </w:tc>
        <w:tc>
          <w:tcPr>
            <w:tcW w:w="1700" w:type="pct"/>
            <w:tcBorders>
              <w:top w:val="single" w:color="000000" w:sz="4" w:space="0"/>
              <w:left w:val="single" w:color="000000" w:sz="4" w:space="0"/>
              <w:bottom w:val="nil"/>
              <w:right w:val="single" w:color="000000" w:sz="4" w:space="0"/>
            </w:tcBorders>
            <w:shd w:val="clear"/>
            <w:vAlign w:val="center"/>
          </w:tcPr>
          <w:p w14:paraId="55648FF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3、路面安装球墨铸铁雨水篦子（规格400*600）</w:t>
            </w:r>
          </w:p>
        </w:tc>
        <w:tc>
          <w:tcPr>
            <w:tcW w:w="408" w:type="pct"/>
            <w:tcBorders>
              <w:top w:val="single" w:color="000000" w:sz="4" w:space="0"/>
              <w:left w:val="single" w:color="000000" w:sz="4" w:space="0"/>
              <w:bottom w:val="nil"/>
              <w:right w:val="single" w:color="000000" w:sz="4" w:space="0"/>
            </w:tcBorders>
            <w:shd w:val="clear"/>
            <w:vAlign w:val="center"/>
          </w:tcPr>
          <w:p w14:paraId="2BFBFBB5">
            <w:pPr>
              <w:keepNext w:val="0"/>
              <w:keepLines w:val="0"/>
              <w:widowControl/>
              <w:suppressLineNumbers w:val="0"/>
              <w:jc w:val="center"/>
              <w:textAlignment w:val="center"/>
              <w:rPr>
                <w:rFonts w:hint="eastAsia" w:ascii="仿宋" w:hAnsi="仿宋" w:eastAsia="仿宋" w:cs="仿宋"/>
              </w:rPr>
            </w:pPr>
            <w:r>
              <w:rPr>
                <w:rFonts w:hint="eastAsia" w:ascii="仿宋" w:hAnsi="仿宋" w:eastAsia="仿宋" w:cs="仿宋"/>
                <w:i w:val="0"/>
                <w:iCs w:val="0"/>
                <w:color w:val="000000"/>
                <w:kern w:val="0"/>
                <w:sz w:val="24"/>
                <w:szCs w:val="24"/>
                <w:u w:val="none"/>
                <w:lang w:val="en-US" w:eastAsia="zh-CN" w:bidi="ar"/>
              </w:rPr>
              <w:t>套</w:t>
            </w:r>
          </w:p>
        </w:tc>
        <w:tc>
          <w:tcPr>
            <w:tcW w:w="408" w:type="pct"/>
            <w:tcBorders>
              <w:top w:val="single" w:color="000000" w:sz="4" w:space="0"/>
              <w:left w:val="single" w:color="000000" w:sz="4" w:space="0"/>
              <w:bottom w:val="nil"/>
              <w:right w:val="single" w:color="000000" w:sz="4" w:space="0"/>
            </w:tcBorders>
            <w:shd w:val="clear"/>
            <w:vAlign w:val="center"/>
          </w:tcPr>
          <w:p w14:paraId="73E1F6E0">
            <w:pPr>
              <w:keepNext w:val="0"/>
              <w:keepLines w:val="0"/>
              <w:widowControl/>
              <w:suppressLineNumbers w:val="0"/>
              <w:jc w:val="center"/>
              <w:textAlignment w:val="center"/>
              <w:rPr>
                <w:rFonts w:hint="eastAsia" w:ascii="仿宋" w:hAnsi="仿宋" w:eastAsia="仿宋" w:cs="仿宋"/>
              </w:rPr>
            </w:pPr>
            <w:r>
              <w:rPr>
                <w:rFonts w:hint="eastAsia" w:ascii="仿宋" w:hAnsi="仿宋" w:eastAsia="仿宋" w:cs="仿宋"/>
                <w:i w:val="0"/>
                <w:iCs w:val="0"/>
                <w:color w:val="000000"/>
                <w:kern w:val="0"/>
                <w:sz w:val="24"/>
                <w:szCs w:val="24"/>
                <w:u w:val="none"/>
                <w:lang w:val="en-US" w:eastAsia="zh-CN" w:bidi="ar"/>
              </w:rPr>
              <w:t>1</w:t>
            </w:r>
          </w:p>
        </w:tc>
        <w:tc>
          <w:tcPr>
            <w:tcW w:w="830" w:type="pct"/>
            <w:tcBorders>
              <w:top w:val="single" w:color="000000" w:sz="4" w:space="0"/>
              <w:left w:val="single" w:color="000000" w:sz="4" w:space="0"/>
              <w:bottom w:val="nil"/>
              <w:right w:val="single" w:color="000000" w:sz="4" w:space="0"/>
            </w:tcBorders>
            <w:shd w:val="clear"/>
            <w:vAlign w:val="center"/>
          </w:tcPr>
          <w:p w14:paraId="3B55C0DA">
            <w:pPr>
              <w:keepNext w:val="0"/>
              <w:keepLines w:val="0"/>
              <w:widowControl/>
              <w:suppressLineNumbers w:val="0"/>
              <w:jc w:val="center"/>
              <w:textAlignment w:val="center"/>
              <w:rPr>
                <w:rFonts w:hint="eastAsia" w:ascii="仿宋" w:hAnsi="仿宋" w:eastAsia="仿宋" w:cs="仿宋"/>
              </w:rPr>
            </w:pPr>
          </w:p>
        </w:tc>
        <w:tc>
          <w:tcPr>
            <w:tcW w:w="553" w:type="pct"/>
            <w:tcBorders>
              <w:top w:val="single" w:color="000000" w:sz="4" w:space="0"/>
              <w:left w:val="single" w:color="000000" w:sz="4" w:space="0"/>
              <w:bottom w:val="nil"/>
              <w:right w:val="single" w:color="000000" w:sz="4" w:space="0"/>
            </w:tcBorders>
            <w:shd w:val="clear"/>
            <w:vAlign w:val="center"/>
          </w:tcPr>
          <w:p w14:paraId="1621EA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44546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0" w:hRule="atLeast"/>
          <w:jc w:val="center"/>
        </w:trPr>
        <w:tc>
          <w:tcPr>
            <w:tcW w:w="408" w:type="pct"/>
            <w:vMerge w:val="continue"/>
            <w:tcBorders>
              <w:left w:val="single" w:color="000000" w:sz="4" w:space="0"/>
              <w:bottom w:val="single" w:color="auto" w:sz="4" w:space="0"/>
              <w:right w:val="single" w:color="000000" w:sz="4" w:space="0"/>
            </w:tcBorders>
            <w:shd w:val="clear"/>
            <w:noWrap/>
            <w:vAlign w:val="center"/>
          </w:tcPr>
          <w:p w14:paraId="3CE53AA6">
            <w:pPr>
              <w:jc w:val="center"/>
              <w:rPr>
                <w:rFonts w:hint="eastAsia" w:ascii="仿宋" w:hAnsi="仿宋" w:eastAsia="仿宋" w:cs="仿宋"/>
                <w:i w:val="0"/>
                <w:iCs w:val="0"/>
                <w:color w:val="000000"/>
                <w:sz w:val="24"/>
                <w:szCs w:val="24"/>
                <w:u w:val="none"/>
              </w:rPr>
            </w:pPr>
          </w:p>
        </w:tc>
        <w:tc>
          <w:tcPr>
            <w:tcW w:w="689" w:type="pct"/>
            <w:vMerge w:val="continue"/>
            <w:tcBorders>
              <w:left w:val="single" w:color="000000" w:sz="4" w:space="0"/>
              <w:bottom w:val="single" w:color="auto" w:sz="4" w:space="0"/>
              <w:right w:val="single" w:color="000000" w:sz="4" w:space="0"/>
            </w:tcBorders>
            <w:shd w:val="clear"/>
            <w:vAlign w:val="center"/>
          </w:tcPr>
          <w:p w14:paraId="042548BA">
            <w:pPr>
              <w:jc w:val="center"/>
              <w:rPr>
                <w:rFonts w:hint="eastAsia" w:ascii="仿宋" w:hAnsi="仿宋" w:eastAsia="仿宋" w:cs="仿宋"/>
                <w:i w:val="0"/>
                <w:iCs w:val="0"/>
                <w:color w:val="000000"/>
                <w:sz w:val="24"/>
                <w:szCs w:val="24"/>
                <w:u w:val="none"/>
              </w:rPr>
            </w:pPr>
          </w:p>
        </w:tc>
        <w:tc>
          <w:tcPr>
            <w:tcW w:w="1700" w:type="pct"/>
            <w:tcBorders>
              <w:top w:val="single" w:color="000000" w:sz="4" w:space="0"/>
              <w:left w:val="single" w:color="000000" w:sz="4" w:space="0"/>
              <w:bottom w:val="nil"/>
              <w:right w:val="single" w:color="000000" w:sz="4" w:space="0"/>
            </w:tcBorders>
            <w:shd w:val="clear"/>
            <w:vAlign w:val="center"/>
          </w:tcPr>
          <w:p w14:paraId="1D689D95">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4、路面安装球墨铸铁重型井盖（规格1300*1000）</w:t>
            </w:r>
          </w:p>
        </w:tc>
        <w:tc>
          <w:tcPr>
            <w:tcW w:w="408" w:type="pct"/>
            <w:tcBorders>
              <w:top w:val="single" w:color="000000" w:sz="4" w:space="0"/>
              <w:left w:val="single" w:color="000000" w:sz="4" w:space="0"/>
              <w:bottom w:val="nil"/>
              <w:right w:val="single" w:color="000000" w:sz="4" w:space="0"/>
            </w:tcBorders>
            <w:shd w:val="clear"/>
            <w:vAlign w:val="center"/>
          </w:tcPr>
          <w:p w14:paraId="71E50F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p>
        </w:tc>
        <w:tc>
          <w:tcPr>
            <w:tcW w:w="408" w:type="pct"/>
            <w:tcBorders>
              <w:top w:val="single" w:color="000000" w:sz="4" w:space="0"/>
              <w:left w:val="single" w:color="000000" w:sz="4" w:space="0"/>
              <w:bottom w:val="nil"/>
              <w:right w:val="single" w:color="000000" w:sz="4" w:space="0"/>
            </w:tcBorders>
            <w:shd w:val="clear"/>
            <w:vAlign w:val="center"/>
          </w:tcPr>
          <w:p w14:paraId="7EEF2C3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30" w:type="pct"/>
            <w:tcBorders>
              <w:top w:val="single" w:color="000000" w:sz="4" w:space="0"/>
              <w:left w:val="single" w:color="000000" w:sz="4" w:space="0"/>
              <w:bottom w:val="nil"/>
              <w:right w:val="single" w:color="000000" w:sz="4" w:space="0"/>
            </w:tcBorders>
            <w:shd w:val="clear"/>
            <w:vAlign w:val="center"/>
          </w:tcPr>
          <w:p w14:paraId="49038814">
            <w:pPr>
              <w:keepNext w:val="0"/>
              <w:keepLines w:val="0"/>
              <w:widowControl/>
              <w:suppressLineNumbers w:val="0"/>
              <w:jc w:val="center"/>
              <w:textAlignment w:val="center"/>
              <w:rPr>
                <w:rFonts w:hint="eastAsia" w:ascii="仿宋" w:hAnsi="仿宋" w:eastAsia="仿宋" w:cs="仿宋"/>
              </w:rPr>
            </w:pPr>
          </w:p>
        </w:tc>
        <w:tc>
          <w:tcPr>
            <w:tcW w:w="553" w:type="pct"/>
            <w:tcBorders>
              <w:top w:val="single" w:color="000000" w:sz="4" w:space="0"/>
              <w:left w:val="single" w:color="000000" w:sz="4" w:space="0"/>
              <w:bottom w:val="nil"/>
              <w:right w:val="single" w:color="000000" w:sz="4" w:space="0"/>
            </w:tcBorders>
            <w:shd w:val="clear"/>
            <w:vAlign w:val="center"/>
          </w:tcPr>
          <w:p w14:paraId="12C924B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43E50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0" w:hRule="atLeast"/>
          <w:jc w:val="center"/>
        </w:trPr>
        <w:tc>
          <w:tcPr>
            <w:tcW w:w="408" w:type="pct"/>
            <w:tcBorders>
              <w:top w:val="single" w:color="auto" w:sz="4" w:space="0"/>
              <w:left w:val="single" w:color="auto" w:sz="4" w:space="0"/>
              <w:bottom w:val="single" w:color="auto" w:sz="4" w:space="0"/>
              <w:right w:val="single" w:color="000000" w:sz="4" w:space="0"/>
            </w:tcBorders>
            <w:shd w:val="clear"/>
            <w:noWrap/>
            <w:vAlign w:val="center"/>
          </w:tcPr>
          <w:p w14:paraId="5BCFC2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689" w:type="pct"/>
            <w:tcBorders>
              <w:top w:val="single" w:color="auto" w:sz="4" w:space="0"/>
              <w:left w:val="single" w:color="000000" w:sz="4" w:space="0"/>
              <w:bottom w:val="single" w:color="auto" w:sz="4" w:space="0"/>
              <w:right w:val="single" w:color="auto" w:sz="4" w:space="0"/>
            </w:tcBorders>
            <w:shd w:val="clear"/>
            <w:vAlign w:val="center"/>
          </w:tcPr>
          <w:p w14:paraId="3CB9377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垃圾</w:t>
            </w:r>
          </w:p>
        </w:tc>
        <w:tc>
          <w:tcPr>
            <w:tcW w:w="1700" w:type="pct"/>
            <w:tcBorders>
              <w:top w:val="single" w:color="000000" w:sz="4" w:space="0"/>
              <w:left w:val="single" w:color="auto" w:sz="4" w:space="0"/>
              <w:bottom w:val="single" w:color="000000" w:sz="4" w:space="0"/>
              <w:right w:val="single" w:color="000000" w:sz="4" w:space="0"/>
            </w:tcBorders>
            <w:shd w:val="clear"/>
            <w:vAlign w:val="center"/>
          </w:tcPr>
          <w:p w14:paraId="6586A1E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1、拆除垃圾外运</w:t>
            </w:r>
          </w:p>
        </w:tc>
        <w:tc>
          <w:tcPr>
            <w:tcW w:w="408" w:type="pct"/>
            <w:tcBorders>
              <w:top w:val="single" w:color="000000" w:sz="4" w:space="0"/>
              <w:left w:val="single" w:color="000000" w:sz="4" w:space="0"/>
              <w:bottom w:val="single" w:color="000000" w:sz="4" w:space="0"/>
              <w:right w:val="single" w:color="000000" w:sz="4" w:space="0"/>
            </w:tcBorders>
            <w:shd w:val="clear"/>
            <w:vAlign w:val="center"/>
          </w:tcPr>
          <w:p w14:paraId="4B85876E">
            <w:pPr>
              <w:keepNext w:val="0"/>
              <w:keepLines w:val="0"/>
              <w:widowControl/>
              <w:suppressLineNumbers w:val="0"/>
              <w:jc w:val="center"/>
              <w:textAlignment w:val="center"/>
              <w:rPr>
                <w:rFonts w:hint="eastAsia" w:ascii="仿宋" w:hAnsi="仿宋" w:eastAsia="仿宋" w:cs="仿宋"/>
              </w:rPr>
            </w:pPr>
            <w:r>
              <w:rPr>
                <w:rFonts w:hint="eastAsia" w:ascii="仿宋" w:hAnsi="仿宋" w:eastAsia="仿宋" w:cs="仿宋"/>
                <w:i w:val="0"/>
                <w:iCs w:val="0"/>
                <w:color w:val="000000"/>
                <w:kern w:val="0"/>
                <w:sz w:val="24"/>
                <w:szCs w:val="24"/>
                <w:u w:val="none"/>
                <w:lang w:val="en-US" w:eastAsia="zh-CN" w:bidi="ar"/>
              </w:rPr>
              <w:t>项</w:t>
            </w:r>
          </w:p>
        </w:tc>
        <w:tc>
          <w:tcPr>
            <w:tcW w:w="408" w:type="pct"/>
            <w:tcBorders>
              <w:top w:val="single" w:color="000000" w:sz="4" w:space="0"/>
              <w:left w:val="single" w:color="000000" w:sz="4" w:space="0"/>
              <w:bottom w:val="single" w:color="000000" w:sz="4" w:space="0"/>
              <w:right w:val="single" w:color="000000" w:sz="4" w:space="0"/>
            </w:tcBorders>
            <w:shd w:val="clear"/>
            <w:vAlign w:val="center"/>
          </w:tcPr>
          <w:p w14:paraId="3E7411FF">
            <w:pPr>
              <w:keepNext w:val="0"/>
              <w:keepLines w:val="0"/>
              <w:widowControl/>
              <w:suppressLineNumbers w:val="0"/>
              <w:jc w:val="center"/>
              <w:textAlignment w:val="center"/>
              <w:rPr>
                <w:rFonts w:hint="eastAsia" w:ascii="仿宋" w:hAnsi="仿宋" w:eastAsia="仿宋" w:cs="仿宋"/>
              </w:rPr>
            </w:pPr>
            <w:r>
              <w:rPr>
                <w:rFonts w:hint="eastAsia" w:ascii="仿宋" w:hAnsi="仿宋" w:eastAsia="仿宋" w:cs="仿宋"/>
                <w:i w:val="0"/>
                <w:iCs w:val="0"/>
                <w:color w:val="000000"/>
                <w:kern w:val="0"/>
                <w:sz w:val="24"/>
                <w:szCs w:val="24"/>
                <w:u w:val="none"/>
                <w:lang w:val="en-US" w:eastAsia="zh-CN" w:bidi="ar"/>
              </w:rPr>
              <w:t>1</w:t>
            </w:r>
          </w:p>
        </w:tc>
        <w:tc>
          <w:tcPr>
            <w:tcW w:w="830" w:type="pct"/>
            <w:tcBorders>
              <w:top w:val="single" w:color="000000" w:sz="4" w:space="0"/>
              <w:left w:val="single" w:color="000000" w:sz="4" w:space="0"/>
              <w:bottom w:val="single" w:color="000000" w:sz="4" w:space="0"/>
              <w:right w:val="single" w:color="000000" w:sz="4" w:space="0"/>
            </w:tcBorders>
            <w:shd w:val="clear"/>
            <w:vAlign w:val="center"/>
          </w:tcPr>
          <w:p w14:paraId="6F872530">
            <w:pPr>
              <w:keepNext w:val="0"/>
              <w:keepLines w:val="0"/>
              <w:widowControl/>
              <w:suppressLineNumbers w:val="0"/>
              <w:jc w:val="center"/>
              <w:textAlignment w:val="center"/>
              <w:rPr>
                <w:rFonts w:hint="eastAsia" w:ascii="仿宋" w:hAnsi="仿宋" w:eastAsia="仿宋" w:cs="仿宋"/>
              </w:rPr>
            </w:pPr>
          </w:p>
        </w:tc>
        <w:tc>
          <w:tcPr>
            <w:tcW w:w="553" w:type="pct"/>
            <w:tcBorders>
              <w:top w:val="single" w:color="000000" w:sz="4" w:space="0"/>
              <w:left w:val="single" w:color="000000" w:sz="4" w:space="0"/>
              <w:bottom w:val="single" w:color="000000" w:sz="4" w:space="0"/>
              <w:right w:val="single" w:color="000000" w:sz="4" w:space="0"/>
            </w:tcBorders>
            <w:shd w:val="clear"/>
            <w:vAlign w:val="center"/>
          </w:tcPr>
          <w:p w14:paraId="721E68E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4F693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0" w:hRule="atLeast"/>
          <w:jc w:val="center"/>
        </w:trPr>
        <w:tc>
          <w:tcPr>
            <w:tcW w:w="408" w:type="pct"/>
            <w:tcBorders>
              <w:top w:val="single" w:color="auto" w:sz="4" w:space="0"/>
              <w:left w:val="single" w:color="auto" w:sz="4" w:space="0"/>
              <w:bottom w:val="single" w:color="auto" w:sz="4" w:space="0"/>
              <w:right w:val="single" w:color="000000" w:sz="4" w:space="0"/>
            </w:tcBorders>
            <w:shd w:val="clear"/>
            <w:noWrap/>
            <w:vAlign w:val="center"/>
          </w:tcPr>
          <w:p w14:paraId="7BD7413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689" w:type="pct"/>
            <w:tcBorders>
              <w:top w:val="single" w:color="auto" w:sz="4" w:space="0"/>
              <w:left w:val="single" w:color="000000" w:sz="4" w:space="0"/>
              <w:bottom w:val="single" w:color="auto" w:sz="4" w:space="0"/>
              <w:right w:val="single" w:color="auto" w:sz="4" w:space="0"/>
            </w:tcBorders>
            <w:shd w:val="clear"/>
            <w:vAlign w:val="center"/>
          </w:tcPr>
          <w:p w14:paraId="7BD7BF5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路面残缺路牙修补</w:t>
            </w:r>
          </w:p>
        </w:tc>
        <w:tc>
          <w:tcPr>
            <w:tcW w:w="1700" w:type="pct"/>
            <w:tcBorders>
              <w:top w:val="single" w:color="000000" w:sz="4" w:space="0"/>
              <w:left w:val="single" w:color="auto" w:sz="4" w:space="0"/>
              <w:bottom w:val="single" w:color="000000" w:sz="4" w:space="0"/>
              <w:right w:val="single" w:color="000000" w:sz="4" w:space="0"/>
            </w:tcBorders>
            <w:shd w:val="clear"/>
            <w:vAlign w:val="center"/>
          </w:tcPr>
          <w:p w14:paraId="1B0B0870">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1.路面残缺路牙、路面修补，含基层修补、面层铺设</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78189">
            <w:pPr>
              <w:keepNext w:val="0"/>
              <w:keepLines w:val="0"/>
              <w:widowControl/>
              <w:suppressLineNumbers w:val="0"/>
              <w:jc w:val="center"/>
              <w:textAlignment w:val="center"/>
              <w:rPr>
                <w:rFonts w:hint="eastAsia" w:ascii="仿宋" w:hAnsi="仿宋" w:eastAsia="仿宋" w:cs="仿宋"/>
                <w:kern w:val="2"/>
                <w:sz w:val="21"/>
                <w:szCs w:val="24"/>
                <w:lang w:val="en-US" w:eastAsia="zh-CN" w:bidi="ar-SA"/>
              </w:rPr>
            </w:pPr>
            <w:r>
              <w:rPr>
                <w:rFonts w:hint="eastAsia" w:ascii="仿宋" w:hAnsi="仿宋" w:eastAsia="仿宋" w:cs="仿宋"/>
                <w:i w:val="0"/>
                <w:iCs w:val="0"/>
                <w:color w:val="000000"/>
                <w:kern w:val="0"/>
                <w:sz w:val="24"/>
                <w:szCs w:val="24"/>
                <w:u w:val="none"/>
                <w:lang w:val="en-US" w:eastAsia="zh-CN" w:bidi="ar"/>
              </w:rPr>
              <w:t>项</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127A2">
            <w:pPr>
              <w:keepNext w:val="0"/>
              <w:keepLines w:val="0"/>
              <w:widowControl/>
              <w:suppressLineNumbers w:val="0"/>
              <w:jc w:val="center"/>
              <w:textAlignment w:val="center"/>
              <w:rPr>
                <w:rFonts w:hint="eastAsia" w:ascii="仿宋" w:hAnsi="仿宋" w:eastAsia="仿宋" w:cs="仿宋"/>
                <w:kern w:val="2"/>
                <w:sz w:val="21"/>
                <w:szCs w:val="24"/>
                <w:lang w:val="en-US" w:eastAsia="zh-CN" w:bidi="ar-SA"/>
              </w:rPr>
            </w:pPr>
            <w:r>
              <w:rPr>
                <w:rFonts w:hint="eastAsia" w:ascii="仿宋" w:hAnsi="仿宋" w:eastAsia="仿宋" w:cs="仿宋"/>
                <w:i w:val="0"/>
                <w:iCs w:val="0"/>
                <w:color w:val="000000"/>
                <w:kern w:val="0"/>
                <w:sz w:val="24"/>
                <w:szCs w:val="24"/>
                <w:u w:val="none"/>
                <w:lang w:val="en-US" w:eastAsia="zh-CN" w:bidi="ar"/>
              </w:rPr>
              <w:t>1</w:t>
            </w:r>
          </w:p>
        </w:tc>
        <w:tc>
          <w:tcPr>
            <w:tcW w:w="830" w:type="pct"/>
            <w:tcBorders>
              <w:top w:val="single" w:color="000000" w:sz="4" w:space="0"/>
              <w:left w:val="single" w:color="000000" w:sz="4" w:space="0"/>
              <w:bottom w:val="single" w:color="000000" w:sz="4" w:space="0"/>
              <w:right w:val="single" w:color="000000" w:sz="4" w:space="0"/>
            </w:tcBorders>
            <w:shd w:val="clear"/>
            <w:vAlign w:val="center"/>
          </w:tcPr>
          <w:p w14:paraId="7CA6CA3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553" w:type="pct"/>
            <w:tcBorders>
              <w:top w:val="single" w:color="000000" w:sz="4" w:space="0"/>
              <w:left w:val="single" w:color="000000" w:sz="4" w:space="0"/>
              <w:bottom w:val="single" w:color="000000" w:sz="4" w:space="0"/>
              <w:right w:val="single" w:color="000000" w:sz="4" w:space="0"/>
            </w:tcBorders>
            <w:shd w:val="clear"/>
            <w:vAlign w:val="center"/>
          </w:tcPr>
          <w:p w14:paraId="1F35BA2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bl>
    <w:p w14:paraId="7FF8F3C7">
      <w:pPr>
        <w:adjustRightInd w:val="0"/>
        <w:spacing w:line="480" w:lineRule="exact"/>
        <w:jc w:val="left"/>
        <w:rPr>
          <w:rFonts w:ascii="仿宋" w:hAnsi="仿宋" w:eastAsia="仿宋"/>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4B1AA1F4">
    <w:panose1 w:val="020B0604020202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5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NGIyY2JlOWFjMmI1ZmQ5Mzg2YzA0ZGM5YWQwNmU1MWMifQ=="/>
  </w:docVars>
  <w:rsids>
    <w:rsidRoot w:val="06543448"/>
    <w:rsid w:val="00062588"/>
    <w:rsid w:val="000825A3"/>
    <w:rsid w:val="00086438"/>
    <w:rsid w:val="00092008"/>
    <w:rsid w:val="00095F72"/>
    <w:rsid w:val="000A186D"/>
    <w:rsid w:val="000A58D0"/>
    <w:rsid w:val="000A7ABE"/>
    <w:rsid w:val="000C2B3B"/>
    <w:rsid w:val="000D1A5C"/>
    <w:rsid w:val="000E760D"/>
    <w:rsid w:val="000F7212"/>
    <w:rsid w:val="00112C05"/>
    <w:rsid w:val="001139B1"/>
    <w:rsid w:val="0011483F"/>
    <w:rsid w:val="001225B2"/>
    <w:rsid w:val="0013429A"/>
    <w:rsid w:val="00151347"/>
    <w:rsid w:val="00174B29"/>
    <w:rsid w:val="0018354B"/>
    <w:rsid w:val="001939F8"/>
    <w:rsid w:val="001C6D02"/>
    <w:rsid w:val="001E21AF"/>
    <w:rsid w:val="001F3DF8"/>
    <w:rsid w:val="0020514E"/>
    <w:rsid w:val="00207483"/>
    <w:rsid w:val="002165C5"/>
    <w:rsid w:val="00245F74"/>
    <w:rsid w:val="0025367D"/>
    <w:rsid w:val="00281034"/>
    <w:rsid w:val="00282724"/>
    <w:rsid w:val="002B7857"/>
    <w:rsid w:val="002E2034"/>
    <w:rsid w:val="003132CF"/>
    <w:rsid w:val="0036283A"/>
    <w:rsid w:val="0037616E"/>
    <w:rsid w:val="00384704"/>
    <w:rsid w:val="00395945"/>
    <w:rsid w:val="003C282F"/>
    <w:rsid w:val="003E4818"/>
    <w:rsid w:val="003F1741"/>
    <w:rsid w:val="00405F30"/>
    <w:rsid w:val="00414913"/>
    <w:rsid w:val="0044066C"/>
    <w:rsid w:val="00443541"/>
    <w:rsid w:val="00446BAE"/>
    <w:rsid w:val="004552D8"/>
    <w:rsid w:val="00484286"/>
    <w:rsid w:val="00484B47"/>
    <w:rsid w:val="004A2B4F"/>
    <w:rsid w:val="004A6BF7"/>
    <w:rsid w:val="004B0629"/>
    <w:rsid w:val="004F4572"/>
    <w:rsid w:val="00510203"/>
    <w:rsid w:val="00517F1D"/>
    <w:rsid w:val="005275A4"/>
    <w:rsid w:val="00553BBB"/>
    <w:rsid w:val="005574F6"/>
    <w:rsid w:val="005812C1"/>
    <w:rsid w:val="005A2496"/>
    <w:rsid w:val="005A2A77"/>
    <w:rsid w:val="00614F8A"/>
    <w:rsid w:val="00626F2E"/>
    <w:rsid w:val="00642EE1"/>
    <w:rsid w:val="00675AF7"/>
    <w:rsid w:val="00711BE9"/>
    <w:rsid w:val="00731991"/>
    <w:rsid w:val="00743841"/>
    <w:rsid w:val="007A235F"/>
    <w:rsid w:val="007A78E7"/>
    <w:rsid w:val="007B6C7F"/>
    <w:rsid w:val="007C1DF6"/>
    <w:rsid w:val="007C2BEC"/>
    <w:rsid w:val="007D257A"/>
    <w:rsid w:val="007D763D"/>
    <w:rsid w:val="007E3192"/>
    <w:rsid w:val="008144CA"/>
    <w:rsid w:val="00821545"/>
    <w:rsid w:val="00822A29"/>
    <w:rsid w:val="00864D2D"/>
    <w:rsid w:val="00867984"/>
    <w:rsid w:val="00867997"/>
    <w:rsid w:val="008863C5"/>
    <w:rsid w:val="00897BD1"/>
    <w:rsid w:val="008B2B20"/>
    <w:rsid w:val="008C65F2"/>
    <w:rsid w:val="008E59CF"/>
    <w:rsid w:val="00923FDF"/>
    <w:rsid w:val="00934AC0"/>
    <w:rsid w:val="009543BC"/>
    <w:rsid w:val="00971917"/>
    <w:rsid w:val="009839F7"/>
    <w:rsid w:val="00992374"/>
    <w:rsid w:val="009B6914"/>
    <w:rsid w:val="009C70E6"/>
    <w:rsid w:val="009E31AE"/>
    <w:rsid w:val="009E4A1F"/>
    <w:rsid w:val="009E59DC"/>
    <w:rsid w:val="00A41D50"/>
    <w:rsid w:val="00A41ED7"/>
    <w:rsid w:val="00A42EAF"/>
    <w:rsid w:val="00A4636E"/>
    <w:rsid w:val="00A66677"/>
    <w:rsid w:val="00A75B1D"/>
    <w:rsid w:val="00A90F8A"/>
    <w:rsid w:val="00AA27D7"/>
    <w:rsid w:val="00AA298A"/>
    <w:rsid w:val="00AA4E5A"/>
    <w:rsid w:val="00AB412A"/>
    <w:rsid w:val="00AE5AAF"/>
    <w:rsid w:val="00AF294F"/>
    <w:rsid w:val="00B0451E"/>
    <w:rsid w:val="00B369C9"/>
    <w:rsid w:val="00B47453"/>
    <w:rsid w:val="00B47E0A"/>
    <w:rsid w:val="00B57E7D"/>
    <w:rsid w:val="00B80ECB"/>
    <w:rsid w:val="00B953E9"/>
    <w:rsid w:val="00BA24C5"/>
    <w:rsid w:val="00BA69A1"/>
    <w:rsid w:val="00BB3C94"/>
    <w:rsid w:val="00BD66E4"/>
    <w:rsid w:val="00C02295"/>
    <w:rsid w:val="00C040A3"/>
    <w:rsid w:val="00C20E63"/>
    <w:rsid w:val="00C30CEE"/>
    <w:rsid w:val="00C50B14"/>
    <w:rsid w:val="00C52D35"/>
    <w:rsid w:val="00C623C0"/>
    <w:rsid w:val="00C67C84"/>
    <w:rsid w:val="00C91015"/>
    <w:rsid w:val="00C920F6"/>
    <w:rsid w:val="00CC43A9"/>
    <w:rsid w:val="00CE1A88"/>
    <w:rsid w:val="00CE5849"/>
    <w:rsid w:val="00CF0CB9"/>
    <w:rsid w:val="00CF23E3"/>
    <w:rsid w:val="00CF7D81"/>
    <w:rsid w:val="00D1766F"/>
    <w:rsid w:val="00D24D0F"/>
    <w:rsid w:val="00D4485D"/>
    <w:rsid w:val="00D44A77"/>
    <w:rsid w:val="00D46D69"/>
    <w:rsid w:val="00D63C7D"/>
    <w:rsid w:val="00D81A31"/>
    <w:rsid w:val="00DA20BD"/>
    <w:rsid w:val="00DA3643"/>
    <w:rsid w:val="00DB2158"/>
    <w:rsid w:val="00DB348C"/>
    <w:rsid w:val="00DE6630"/>
    <w:rsid w:val="00DF5E42"/>
    <w:rsid w:val="00E14FF0"/>
    <w:rsid w:val="00E236CE"/>
    <w:rsid w:val="00E31D01"/>
    <w:rsid w:val="00E51664"/>
    <w:rsid w:val="00E87A9E"/>
    <w:rsid w:val="00EB17F3"/>
    <w:rsid w:val="00EB7968"/>
    <w:rsid w:val="00F0174F"/>
    <w:rsid w:val="00F07287"/>
    <w:rsid w:val="00F34F7B"/>
    <w:rsid w:val="00F3697F"/>
    <w:rsid w:val="00F46629"/>
    <w:rsid w:val="00FA1BAB"/>
    <w:rsid w:val="00FB61DA"/>
    <w:rsid w:val="00FC4229"/>
    <w:rsid w:val="00FC5D77"/>
    <w:rsid w:val="019460D1"/>
    <w:rsid w:val="01C0374D"/>
    <w:rsid w:val="02AE30D1"/>
    <w:rsid w:val="02F94AB6"/>
    <w:rsid w:val="05437F28"/>
    <w:rsid w:val="06543448"/>
    <w:rsid w:val="0CC26218"/>
    <w:rsid w:val="0EC853E9"/>
    <w:rsid w:val="113D3FDB"/>
    <w:rsid w:val="13554B53"/>
    <w:rsid w:val="139D0B46"/>
    <w:rsid w:val="15547333"/>
    <w:rsid w:val="16D63B17"/>
    <w:rsid w:val="176B335C"/>
    <w:rsid w:val="18AB01A9"/>
    <w:rsid w:val="194B32FE"/>
    <w:rsid w:val="19C81DB5"/>
    <w:rsid w:val="1C136BED"/>
    <w:rsid w:val="1CD3234C"/>
    <w:rsid w:val="1E171FCF"/>
    <w:rsid w:val="1E4E0DD4"/>
    <w:rsid w:val="20AA343C"/>
    <w:rsid w:val="20D300A8"/>
    <w:rsid w:val="20DB35F6"/>
    <w:rsid w:val="24997A50"/>
    <w:rsid w:val="2500655F"/>
    <w:rsid w:val="2593262D"/>
    <w:rsid w:val="295959FF"/>
    <w:rsid w:val="2B08148B"/>
    <w:rsid w:val="2B3C601B"/>
    <w:rsid w:val="2BDF3837"/>
    <w:rsid w:val="2C583D4C"/>
    <w:rsid w:val="2C8D7E9A"/>
    <w:rsid w:val="2DC62AEA"/>
    <w:rsid w:val="2E3536B4"/>
    <w:rsid w:val="2EB6716E"/>
    <w:rsid w:val="2F48454C"/>
    <w:rsid w:val="2F6B2BC5"/>
    <w:rsid w:val="33EE570F"/>
    <w:rsid w:val="34C7361A"/>
    <w:rsid w:val="34E76503"/>
    <w:rsid w:val="36A50C83"/>
    <w:rsid w:val="39D76BF8"/>
    <w:rsid w:val="3BFA0D8E"/>
    <w:rsid w:val="3C5C180E"/>
    <w:rsid w:val="3C6329C5"/>
    <w:rsid w:val="3CF50218"/>
    <w:rsid w:val="3DFA01A1"/>
    <w:rsid w:val="416765A3"/>
    <w:rsid w:val="41765F5A"/>
    <w:rsid w:val="42666D6B"/>
    <w:rsid w:val="437B6846"/>
    <w:rsid w:val="4467501D"/>
    <w:rsid w:val="45717F01"/>
    <w:rsid w:val="46330353"/>
    <w:rsid w:val="463B050F"/>
    <w:rsid w:val="464E0242"/>
    <w:rsid w:val="4B0C3ADF"/>
    <w:rsid w:val="4B127C87"/>
    <w:rsid w:val="4BC14786"/>
    <w:rsid w:val="4C9444D5"/>
    <w:rsid w:val="4D8E61D9"/>
    <w:rsid w:val="4DCA6F7A"/>
    <w:rsid w:val="4F973207"/>
    <w:rsid w:val="50D2381E"/>
    <w:rsid w:val="525573CB"/>
    <w:rsid w:val="52F83ABA"/>
    <w:rsid w:val="560C1580"/>
    <w:rsid w:val="58EB7815"/>
    <w:rsid w:val="591A5918"/>
    <w:rsid w:val="5A276988"/>
    <w:rsid w:val="5BB5017A"/>
    <w:rsid w:val="5BE65CB7"/>
    <w:rsid w:val="5F2B2A77"/>
    <w:rsid w:val="5F5C0449"/>
    <w:rsid w:val="623E0D13"/>
    <w:rsid w:val="63D331B0"/>
    <w:rsid w:val="650034A0"/>
    <w:rsid w:val="65C6799D"/>
    <w:rsid w:val="661D1ABB"/>
    <w:rsid w:val="663F11BD"/>
    <w:rsid w:val="663F32AC"/>
    <w:rsid w:val="6686712D"/>
    <w:rsid w:val="67965D9C"/>
    <w:rsid w:val="6B1D1B33"/>
    <w:rsid w:val="6F4A300B"/>
    <w:rsid w:val="6F696A5A"/>
    <w:rsid w:val="6F6D7399"/>
    <w:rsid w:val="6FAB748D"/>
    <w:rsid w:val="6FF46EB5"/>
    <w:rsid w:val="70B2665B"/>
    <w:rsid w:val="72E32DBD"/>
    <w:rsid w:val="756B45C5"/>
    <w:rsid w:val="7584645D"/>
    <w:rsid w:val="766A728E"/>
    <w:rsid w:val="76E45A1E"/>
    <w:rsid w:val="76FF686B"/>
    <w:rsid w:val="78A27DF6"/>
    <w:rsid w:val="791C7D3B"/>
    <w:rsid w:val="799D193E"/>
    <w:rsid w:val="7A214D4A"/>
    <w:rsid w:val="7AAA0AE2"/>
    <w:rsid w:val="7DB82322"/>
    <w:rsid w:val="7E1F3C97"/>
    <w:rsid w:val="7E4A0B18"/>
    <w:rsid w:val="7F663D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ind w:left="601" w:hanging="601"/>
      <w:jc w:val="left"/>
    </w:pPr>
    <w:rPr>
      <w:rFonts w:ascii="宋体" w:hAnsi="宋体" w:cs="宋体"/>
      <w:kern w:val="0"/>
      <w:sz w:val="24"/>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页眉 Char"/>
    <w:basedOn w:val="8"/>
    <w:link w:val="4"/>
    <w:qFormat/>
    <w:uiPriority w:val="0"/>
    <w:rPr>
      <w:rFonts w:ascii="Times New Roman" w:hAnsi="Times New Roman" w:eastAsia="宋体" w:cs="Times New Roman"/>
      <w:kern w:val="2"/>
      <w:sz w:val="18"/>
      <w:szCs w:val="18"/>
    </w:rPr>
  </w:style>
  <w:style w:type="character" w:customStyle="1" w:styleId="10">
    <w:name w:val="页脚 Char"/>
    <w:basedOn w:val="8"/>
    <w:link w:val="3"/>
    <w:qFormat/>
    <w:uiPriority w:val="0"/>
    <w:rPr>
      <w:rFonts w:ascii="Times New Roman" w:hAnsi="Times New Roman" w:eastAsia="宋体" w:cs="Times New Roman"/>
      <w:kern w:val="2"/>
      <w:sz w:val="18"/>
      <w:szCs w:val="18"/>
    </w:rPr>
  </w:style>
  <w:style w:type="paragraph" w:styleId="11">
    <w:name w:val="List Paragraph"/>
    <w:basedOn w:val="1"/>
    <w:unhideWhenUsed/>
    <w:qFormat/>
    <w:uiPriority w:val="99"/>
    <w:pPr>
      <w:ind w:firstLine="420" w:firstLineChars="200"/>
    </w:pPr>
  </w:style>
  <w:style w:type="character" w:customStyle="1" w:styleId="12">
    <w:name w:val="批注框文本 Char"/>
    <w:basedOn w:val="8"/>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1041</Words>
  <Characters>1073</Characters>
  <Lines>5</Lines>
  <Paragraphs>1</Paragraphs>
  <TotalTime>1</TotalTime>
  <ScaleCrop>false</ScaleCrop>
  <LinksUpToDate>false</LinksUpToDate>
  <CharactersWithSpaces>1073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2022-10-20T01:32:00Z</dcterms:created>
  <dc:creator>Administrator</dc:creator>
  <cp:lastModifiedBy>Neweest</cp:lastModifiedBy>
  <cp:lastPrinted>2026-09-29T08:51:53Z</cp:lastPrinted>
  <dcterms:modified xsi:type="dcterms:W3CDTF">2026-09-29T08:53:39Z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514232A1726B4DAFADA5275085AD8370</vt:lpwstr>
  </property>
  <property fmtid="{D5CDD505-2E9C-101B-9397-08002B2CF9AE}" pid="4" name="KSOTemplateDocerSaveRecord">
    <vt:lpwstr>eyJoZGlkIjoiZjAyYzJhNGJlMzIzMWMwMWRhM2UzM2M2NmM5ZDZiMjIiLCJ1c2VySWQiOiIyODkxMDUwMDcifQ==</vt:lpwstr>
  </property>
</Properties>
</file>