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BD3E54">
      <w:pPr>
        <w:spacing w:afterLines="50"/>
        <w:ind w:left="220" w:hanging="220" w:hangingChars="50"/>
        <w:jc w:val="center"/>
        <w:rPr>
          <w:rFonts w:ascii="方正小标宋简体" w:eastAsia="方正小标宋简体" w:hAnsiTheme="minorEastAsia"/>
          <w:sz w:val="44"/>
          <w:szCs w:val="44"/>
        </w:rPr>
      </w:pPr>
      <w:r>
        <w:rPr>
          <w:rFonts w:hint="eastAsia" w:ascii="方正小标宋简体" w:eastAsia="方正小标宋简体" w:hAnsiTheme="minorEastAsia"/>
          <w:sz w:val="44"/>
          <w:szCs w:val="44"/>
        </w:rPr>
        <w:t>窗帘制品制作、安装、维修项目比选方案</w:t>
      </w:r>
    </w:p>
    <w:p w14:paraId="24B1F7DE">
      <w:pPr>
        <w:widowControl/>
        <w:shd w:val="clear" w:color="auto" w:fill="FFFFFF"/>
        <w:spacing w:line="360" w:lineRule="auto"/>
        <w:ind w:firstLine="560" w:firstLineChars="20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窗帘制品制作、安装、维修项目</w:t>
      </w:r>
      <w:r>
        <w:rPr>
          <w:rFonts w:hint="eastAsia" w:ascii="仿宋" w:hAnsi="仿宋" w:eastAsia="仿宋"/>
          <w:color w:val="000000" w:themeColor="text1"/>
          <w:sz w:val="28"/>
          <w:szCs w:val="28"/>
          <w:lang w:val="en-US" w:eastAsia="zh-CN"/>
          <w14:textFill>
            <w14:solidFill>
              <w14:schemeClr w14:val="tx1"/>
            </w14:solidFill>
          </w14:textFill>
        </w:rPr>
        <w:t>于2026年9月16日组织现场比价，请有意向的单位于时间：2026年9月16日上午9时00分（北京时间），递交截止时间：2026年9月16日上午9</w:t>
      </w:r>
      <w:bookmarkStart w:id="0" w:name="_GoBack"/>
      <w:bookmarkEnd w:id="0"/>
      <w:r>
        <w:rPr>
          <w:rFonts w:hint="eastAsia" w:ascii="仿宋" w:hAnsi="仿宋" w:eastAsia="仿宋"/>
          <w:color w:val="000000" w:themeColor="text1"/>
          <w:sz w:val="28"/>
          <w:szCs w:val="28"/>
          <w:lang w:val="en-US" w:eastAsia="zh-CN"/>
          <w14:textFill>
            <w14:solidFill>
              <w14:schemeClr w14:val="tx1"/>
            </w14:solidFill>
          </w14:textFill>
        </w:rPr>
        <w:t>时30分（北京时间）（该时间起不再接收响应文件），递交地点：江苏大学附属医院行政3号楼总务处二楼会议室。</w:t>
      </w:r>
    </w:p>
    <w:p w14:paraId="16E6DF40">
      <w:pPr>
        <w:adjustRightInd w:val="0"/>
        <w:spacing w:line="440" w:lineRule="exact"/>
        <w:ind w:firstLine="560" w:firstLineChars="200"/>
        <w:jc w:val="left"/>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窗帘制品制作、安装、维修项目比选方案</w:t>
      </w:r>
      <w:r>
        <w:rPr>
          <w:rFonts w:ascii="仿宋" w:hAnsi="仿宋" w:eastAsia="仿宋"/>
          <w:color w:val="000000" w:themeColor="text1"/>
          <w:sz w:val="28"/>
          <w:szCs w:val="28"/>
          <w14:textFill>
            <w14:solidFill>
              <w14:schemeClr w14:val="tx1"/>
            </w14:solidFill>
          </w14:textFill>
        </w:rPr>
        <w:t>具体要求如下：</w:t>
      </w:r>
    </w:p>
    <w:p w14:paraId="75B3705D">
      <w:pPr>
        <w:adjustRightInd w:val="0"/>
        <w:spacing w:line="440" w:lineRule="exact"/>
        <w:ind w:firstLine="562" w:firstLineChars="200"/>
        <w:jc w:val="left"/>
        <w:rPr>
          <w:rFonts w:ascii="仿宋" w:hAnsi="仿宋" w:eastAsia="仿宋"/>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1.产品及服务要求</w:t>
      </w:r>
      <w:r>
        <w:rPr>
          <w:rFonts w:hint="eastAsia" w:ascii="仿宋" w:hAnsi="仿宋" w:eastAsia="仿宋"/>
          <w:sz w:val="28"/>
          <w:szCs w:val="28"/>
        </w:rPr>
        <w:t>（本项所有要求均需满足，服务商须提供承诺函，承诺函见附件二）</w:t>
      </w:r>
      <w:r>
        <w:rPr>
          <w:rFonts w:hint="eastAsia" w:ascii="仿宋" w:hAnsi="仿宋" w:eastAsia="仿宋"/>
          <w:color w:val="000000" w:themeColor="text1"/>
          <w:sz w:val="28"/>
          <w:szCs w:val="28"/>
          <w14:textFill>
            <w14:solidFill>
              <w14:schemeClr w14:val="tx1"/>
            </w14:solidFill>
          </w14:textFill>
        </w:rPr>
        <w:t>：</w:t>
      </w:r>
    </w:p>
    <w:p w14:paraId="5F016328">
      <w:pPr>
        <w:adjustRightInd w:val="0"/>
        <w:spacing w:line="440" w:lineRule="exact"/>
        <w:ind w:firstLine="560" w:firstLineChars="200"/>
        <w:jc w:val="left"/>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1.1采购清单：</w:t>
      </w:r>
    </w:p>
    <w:tbl>
      <w:tblPr>
        <w:tblStyle w:val="9"/>
        <w:tblpPr w:leftFromText="180" w:rightFromText="180" w:vertAnchor="text" w:horzAnchor="margin" w:tblpXSpec="center" w:tblpY="362"/>
        <w:tblOverlap w:val="never"/>
        <w:tblW w:w="111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992"/>
        <w:gridCol w:w="1984"/>
        <w:gridCol w:w="1560"/>
        <w:gridCol w:w="1701"/>
        <w:gridCol w:w="1275"/>
        <w:gridCol w:w="1276"/>
        <w:gridCol w:w="1276"/>
      </w:tblGrid>
      <w:tr w14:paraId="19569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3A5AA874">
            <w:pPr>
              <w:ind w:firstLine="240" w:firstLineChars="1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名称</w:t>
            </w:r>
          </w:p>
        </w:tc>
        <w:tc>
          <w:tcPr>
            <w:tcW w:w="992" w:type="dxa"/>
            <w:vAlign w:val="center"/>
          </w:tcPr>
          <w:p w14:paraId="65F81CFF">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占比</w:t>
            </w:r>
          </w:p>
        </w:tc>
        <w:tc>
          <w:tcPr>
            <w:tcW w:w="1984" w:type="dxa"/>
            <w:vAlign w:val="center"/>
          </w:tcPr>
          <w:p w14:paraId="5C1EC6D5">
            <w:pPr>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配件名称</w:t>
            </w:r>
          </w:p>
        </w:tc>
        <w:tc>
          <w:tcPr>
            <w:tcW w:w="1560" w:type="dxa"/>
            <w:vAlign w:val="center"/>
          </w:tcPr>
          <w:p w14:paraId="587E2DCC">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虚拟数量</w:t>
            </w:r>
          </w:p>
        </w:tc>
        <w:tc>
          <w:tcPr>
            <w:tcW w:w="1701" w:type="dxa"/>
            <w:vAlign w:val="center"/>
          </w:tcPr>
          <w:p w14:paraId="63C9CCC5">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最高限价（元）</w:t>
            </w:r>
          </w:p>
        </w:tc>
        <w:tc>
          <w:tcPr>
            <w:tcW w:w="1275" w:type="dxa"/>
            <w:vAlign w:val="center"/>
          </w:tcPr>
          <w:p w14:paraId="35210753">
            <w:pP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价格(元）</w:t>
            </w:r>
          </w:p>
        </w:tc>
        <w:tc>
          <w:tcPr>
            <w:tcW w:w="1276" w:type="dxa"/>
            <w:vAlign w:val="center"/>
          </w:tcPr>
          <w:p w14:paraId="5FA1AEAA">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分项总价</w:t>
            </w:r>
          </w:p>
        </w:tc>
        <w:tc>
          <w:tcPr>
            <w:tcW w:w="1276" w:type="dxa"/>
            <w:vAlign w:val="center"/>
          </w:tcPr>
          <w:p w14:paraId="5EEF1768">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分项总价*占比</w:t>
            </w:r>
          </w:p>
        </w:tc>
      </w:tr>
      <w:tr w14:paraId="6FD22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14:paraId="447F9942">
            <w:pPr>
              <w:jc w:val="center"/>
              <w:rPr>
                <w:rFonts w:ascii="仿宋" w:hAnsi="仿宋" w:eastAsia="仿宋"/>
                <w:color w:val="000000" w:themeColor="text1"/>
                <w:sz w:val="24"/>
                <w14:textFill>
                  <w14:solidFill>
                    <w14:schemeClr w14:val="tx1"/>
                  </w14:solidFill>
                </w14:textFill>
              </w:rPr>
            </w:pPr>
          </w:p>
          <w:p w14:paraId="6AFBE970">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窗帘/隔帘</w:t>
            </w:r>
          </w:p>
        </w:tc>
        <w:tc>
          <w:tcPr>
            <w:tcW w:w="992" w:type="dxa"/>
            <w:vMerge w:val="restart"/>
            <w:vAlign w:val="center"/>
          </w:tcPr>
          <w:p w14:paraId="07AAAD5F">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40%</w:t>
            </w:r>
          </w:p>
        </w:tc>
        <w:tc>
          <w:tcPr>
            <w:tcW w:w="1984" w:type="dxa"/>
            <w:vAlign w:val="center"/>
          </w:tcPr>
          <w:p w14:paraId="3FE7A859">
            <w:pPr>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挂钩</w:t>
            </w:r>
          </w:p>
        </w:tc>
        <w:tc>
          <w:tcPr>
            <w:tcW w:w="1560" w:type="dxa"/>
            <w:vAlign w:val="center"/>
          </w:tcPr>
          <w:p w14:paraId="29A34E84">
            <w:pPr>
              <w:ind w:firstLine="360" w:firstLineChars="15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1只</w:t>
            </w:r>
          </w:p>
        </w:tc>
        <w:tc>
          <w:tcPr>
            <w:tcW w:w="1701" w:type="dxa"/>
            <w:vAlign w:val="center"/>
          </w:tcPr>
          <w:p w14:paraId="372E86DD">
            <w:pPr>
              <w:ind w:firstLine="240" w:firstLineChars="100"/>
              <w:jc w:val="center"/>
              <w:rPr>
                <w:rFonts w:hint="eastAsia"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0.</w:t>
            </w:r>
            <w:r>
              <w:rPr>
                <w:rFonts w:hint="eastAsia" w:ascii="仿宋" w:hAnsi="仿宋" w:eastAsia="仿宋"/>
                <w:color w:val="000000" w:themeColor="text1"/>
                <w:sz w:val="24"/>
                <w:lang w:val="en-US" w:eastAsia="zh-CN"/>
                <w14:textFill>
                  <w14:solidFill>
                    <w14:schemeClr w14:val="tx1"/>
                  </w14:solidFill>
                </w14:textFill>
              </w:rPr>
              <w:t>3</w:t>
            </w:r>
          </w:p>
        </w:tc>
        <w:tc>
          <w:tcPr>
            <w:tcW w:w="1275" w:type="dxa"/>
            <w:vAlign w:val="center"/>
          </w:tcPr>
          <w:p w14:paraId="3083F470">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restart"/>
            <w:vAlign w:val="center"/>
          </w:tcPr>
          <w:p w14:paraId="6C459BD0">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restart"/>
            <w:vAlign w:val="center"/>
          </w:tcPr>
          <w:p w14:paraId="3C68BCAA">
            <w:pPr>
              <w:ind w:firstLine="720" w:firstLineChars="300"/>
              <w:jc w:val="center"/>
              <w:rPr>
                <w:rFonts w:ascii="仿宋" w:hAnsi="仿宋" w:eastAsia="仿宋"/>
                <w:color w:val="000000" w:themeColor="text1"/>
                <w:sz w:val="24"/>
                <w14:textFill>
                  <w14:solidFill>
                    <w14:schemeClr w14:val="tx1"/>
                  </w14:solidFill>
                </w14:textFill>
              </w:rPr>
            </w:pPr>
          </w:p>
        </w:tc>
      </w:tr>
      <w:tr w14:paraId="644B9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015F7547">
            <w:pPr>
              <w:ind w:firstLine="480" w:firstLineChars="200"/>
              <w:jc w:val="center"/>
              <w:rPr>
                <w:rFonts w:ascii="仿宋" w:hAnsi="仿宋" w:eastAsia="仿宋"/>
                <w:color w:val="000000" w:themeColor="text1"/>
                <w:sz w:val="24"/>
                <w14:textFill>
                  <w14:solidFill>
                    <w14:schemeClr w14:val="tx1"/>
                  </w14:solidFill>
                </w14:textFill>
              </w:rPr>
            </w:pPr>
          </w:p>
        </w:tc>
        <w:tc>
          <w:tcPr>
            <w:tcW w:w="992" w:type="dxa"/>
            <w:vMerge w:val="continue"/>
            <w:vAlign w:val="center"/>
          </w:tcPr>
          <w:p w14:paraId="3E8537CE">
            <w:pPr>
              <w:ind w:firstLine="480" w:firstLineChars="200"/>
              <w:jc w:val="center"/>
              <w:rPr>
                <w:rFonts w:ascii="仿宋" w:hAnsi="仿宋" w:eastAsia="仿宋"/>
                <w:color w:val="000000" w:themeColor="text1"/>
                <w:sz w:val="24"/>
                <w14:textFill>
                  <w14:solidFill>
                    <w14:schemeClr w14:val="tx1"/>
                  </w14:solidFill>
                </w14:textFill>
              </w:rPr>
            </w:pPr>
          </w:p>
        </w:tc>
        <w:tc>
          <w:tcPr>
            <w:tcW w:w="1984" w:type="dxa"/>
            <w:vAlign w:val="center"/>
          </w:tcPr>
          <w:p w14:paraId="78FF34B8">
            <w:pPr>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轨道</w:t>
            </w:r>
          </w:p>
        </w:tc>
        <w:tc>
          <w:tcPr>
            <w:tcW w:w="1560" w:type="dxa"/>
            <w:vAlign w:val="center"/>
          </w:tcPr>
          <w:p w14:paraId="7A0D4017">
            <w:pPr>
              <w:ind w:firstLine="360" w:firstLineChars="15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1米</w:t>
            </w:r>
          </w:p>
        </w:tc>
        <w:tc>
          <w:tcPr>
            <w:tcW w:w="1701" w:type="dxa"/>
            <w:vAlign w:val="center"/>
          </w:tcPr>
          <w:p w14:paraId="08AD2C8C">
            <w:pPr>
              <w:ind w:firstLine="240" w:firstLineChars="100"/>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2</w:t>
            </w:r>
            <w:r>
              <w:rPr>
                <w:rFonts w:hint="eastAsia" w:ascii="仿宋" w:hAnsi="仿宋" w:eastAsia="仿宋"/>
                <w:color w:val="000000" w:themeColor="text1"/>
                <w:sz w:val="24"/>
                <w14:textFill>
                  <w14:solidFill>
                    <w14:schemeClr w14:val="tx1"/>
                  </w14:solidFill>
                </w14:textFill>
              </w:rPr>
              <w:t>5</w:t>
            </w:r>
          </w:p>
        </w:tc>
        <w:tc>
          <w:tcPr>
            <w:tcW w:w="1275" w:type="dxa"/>
            <w:vAlign w:val="center"/>
          </w:tcPr>
          <w:p w14:paraId="6937C86C">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continue"/>
            <w:vAlign w:val="center"/>
          </w:tcPr>
          <w:p w14:paraId="3E56C279">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continue"/>
            <w:vAlign w:val="center"/>
          </w:tcPr>
          <w:p w14:paraId="5C891812">
            <w:pPr>
              <w:ind w:firstLine="720" w:firstLineChars="300"/>
              <w:jc w:val="center"/>
              <w:rPr>
                <w:rFonts w:ascii="仿宋" w:hAnsi="仿宋" w:eastAsia="仿宋"/>
                <w:color w:val="000000" w:themeColor="text1"/>
                <w:sz w:val="24"/>
                <w14:textFill>
                  <w14:solidFill>
                    <w14:schemeClr w14:val="tx1"/>
                  </w14:solidFill>
                </w14:textFill>
              </w:rPr>
            </w:pPr>
          </w:p>
        </w:tc>
      </w:tr>
      <w:tr w14:paraId="37F0B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721A894B">
            <w:pPr>
              <w:ind w:firstLine="480" w:firstLineChars="200"/>
              <w:jc w:val="center"/>
              <w:rPr>
                <w:rFonts w:ascii="仿宋" w:hAnsi="仿宋" w:eastAsia="仿宋"/>
                <w:color w:val="000000" w:themeColor="text1"/>
                <w:sz w:val="24"/>
                <w14:textFill>
                  <w14:solidFill>
                    <w14:schemeClr w14:val="tx1"/>
                  </w14:solidFill>
                </w14:textFill>
              </w:rPr>
            </w:pPr>
          </w:p>
        </w:tc>
        <w:tc>
          <w:tcPr>
            <w:tcW w:w="992" w:type="dxa"/>
            <w:vMerge w:val="continue"/>
            <w:vAlign w:val="center"/>
          </w:tcPr>
          <w:p w14:paraId="128A2C67">
            <w:pPr>
              <w:ind w:firstLine="480" w:firstLineChars="200"/>
              <w:jc w:val="center"/>
              <w:rPr>
                <w:rFonts w:ascii="仿宋" w:hAnsi="仿宋" w:eastAsia="仿宋"/>
                <w:color w:val="000000" w:themeColor="text1"/>
                <w:sz w:val="24"/>
                <w14:textFill>
                  <w14:solidFill>
                    <w14:schemeClr w14:val="tx1"/>
                  </w14:solidFill>
                </w14:textFill>
              </w:rPr>
            </w:pPr>
          </w:p>
        </w:tc>
        <w:tc>
          <w:tcPr>
            <w:tcW w:w="1984" w:type="dxa"/>
            <w:vAlign w:val="center"/>
          </w:tcPr>
          <w:p w14:paraId="3B1013C6">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全遮光窗帘布</w:t>
            </w:r>
          </w:p>
        </w:tc>
        <w:tc>
          <w:tcPr>
            <w:tcW w:w="1560" w:type="dxa"/>
            <w:vAlign w:val="center"/>
          </w:tcPr>
          <w:p w14:paraId="4E2A57F3">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3米*2.5米</w:t>
            </w:r>
          </w:p>
        </w:tc>
        <w:tc>
          <w:tcPr>
            <w:tcW w:w="1701" w:type="dxa"/>
            <w:vAlign w:val="center"/>
          </w:tcPr>
          <w:p w14:paraId="73A0C3CF">
            <w:pPr>
              <w:ind w:firstLine="240" w:firstLineChars="100"/>
              <w:jc w:val="center"/>
              <w:rPr>
                <w:rFonts w:hint="default"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1</w:t>
            </w:r>
            <w:r>
              <w:rPr>
                <w:rFonts w:hint="eastAsia" w:ascii="仿宋" w:hAnsi="仿宋" w:eastAsia="仿宋"/>
                <w:color w:val="000000" w:themeColor="text1"/>
                <w:sz w:val="24"/>
                <w:lang w:val="en-US" w:eastAsia="zh-CN"/>
                <w14:textFill>
                  <w14:solidFill>
                    <w14:schemeClr w14:val="tx1"/>
                  </w14:solidFill>
                </w14:textFill>
              </w:rPr>
              <w:t>20</w:t>
            </w:r>
          </w:p>
        </w:tc>
        <w:tc>
          <w:tcPr>
            <w:tcW w:w="1275" w:type="dxa"/>
            <w:vAlign w:val="center"/>
          </w:tcPr>
          <w:p w14:paraId="02CDEA18">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continue"/>
            <w:vAlign w:val="center"/>
          </w:tcPr>
          <w:p w14:paraId="14E99073">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continue"/>
            <w:vAlign w:val="center"/>
          </w:tcPr>
          <w:p w14:paraId="756A35C8">
            <w:pPr>
              <w:ind w:firstLine="720" w:firstLineChars="300"/>
              <w:jc w:val="center"/>
              <w:rPr>
                <w:rFonts w:ascii="仿宋" w:hAnsi="仿宋" w:eastAsia="仿宋"/>
                <w:color w:val="000000" w:themeColor="text1"/>
                <w:sz w:val="24"/>
                <w14:textFill>
                  <w14:solidFill>
                    <w14:schemeClr w14:val="tx1"/>
                  </w14:solidFill>
                </w14:textFill>
              </w:rPr>
            </w:pPr>
          </w:p>
        </w:tc>
      </w:tr>
      <w:tr w14:paraId="2941E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5418F3E6">
            <w:pPr>
              <w:ind w:firstLine="480" w:firstLineChars="200"/>
              <w:jc w:val="center"/>
              <w:rPr>
                <w:rFonts w:ascii="仿宋" w:hAnsi="仿宋" w:eastAsia="仿宋"/>
                <w:color w:val="000000" w:themeColor="text1"/>
                <w:sz w:val="24"/>
                <w14:textFill>
                  <w14:solidFill>
                    <w14:schemeClr w14:val="tx1"/>
                  </w14:solidFill>
                </w14:textFill>
              </w:rPr>
            </w:pPr>
          </w:p>
        </w:tc>
        <w:tc>
          <w:tcPr>
            <w:tcW w:w="992" w:type="dxa"/>
            <w:vMerge w:val="continue"/>
            <w:vAlign w:val="center"/>
          </w:tcPr>
          <w:p w14:paraId="70062990">
            <w:pPr>
              <w:ind w:firstLine="480" w:firstLineChars="200"/>
              <w:jc w:val="center"/>
              <w:rPr>
                <w:rFonts w:ascii="仿宋" w:hAnsi="仿宋" w:eastAsia="仿宋"/>
                <w:color w:val="000000" w:themeColor="text1"/>
                <w:sz w:val="24"/>
                <w14:textFill>
                  <w14:solidFill>
                    <w14:schemeClr w14:val="tx1"/>
                  </w14:solidFill>
                </w14:textFill>
              </w:rPr>
            </w:pPr>
          </w:p>
        </w:tc>
        <w:tc>
          <w:tcPr>
            <w:tcW w:w="1984" w:type="dxa"/>
            <w:vAlign w:val="center"/>
          </w:tcPr>
          <w:p w14:paraId="19D6B0BA">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隔帘布</w:t>
            </w:r>
          </w:p>
        </w:tc>
        <w:tc>
          <w:tcPr>
            <w:tcW w:w="1560" w:type="dxa"/>
            <w:vAlign w:val="center"/>
          </w:tcPr>
          <w:p w14:paraId="4E08E057">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3米*2.5米</w:t>
            </w:r>
          </w:p>
        </w:tc>
        <w:tc>
          <w:tcPr>
            <w:tcW w:w="1701" w:type="dxa"/>
            <w:vAlign w:val="center"/>
          </w:tcPr>
          <w:p w14:paraId="66377A1F">
            <w:pPr>
              <w:ind w:firstLine="240" w:firstLineChars="100"/>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5</w:t>
            </w:r>
            <w:r>
              <w:rPr>
                <w:rFonts w:hint="eastAsia" w:ascii="仿宋" w:hAnsi="仿宋" w:eastAsia="仿宋"/>
                <w:color w:val="000000" w:themeColor="text1"/>
                <w:sz w:val="24"/>
                <w14:textFill>
                  <w14:solidFill>
                    <w14:schemeClr w14:val="tx1"/>
                  </w14:solidFill>
                </w14:textFill>
              </w:rPr>
              <w:t>0</w:t>
            </w:r>
          </w:p>
        </w:tc>
        <w:tc>
          <w:tcPr>
            <w:tcW w:w="1275" w:type="dxa"/>
            <w:vAlign w:val="center"/>
          </w:tcPr>
          <w:p w14:paraId="3761B08E">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continue"/>
            <w:vAlign w:val="center"/>
          </w:tcPr>
          <w:p w14:paraId="28BC2CE0">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continue"/>
            <w:vAlign w:val="center"/>
          </w:tcPr>
          <w:p w14:paraId="22941A32">
            <w:pPr>
              <w:ind w:firstLine="720" w:firstLineChars="300"/>
              <w:jc w:val="center"/>
              <w:rPr>
                <w:rFonts w:ascii="仿宋" w:hAnsi="仿宋" w:eastAsia="仿宋"/>
                <w:color w:val="000000" w:themeColor="text1"/>
                <w:sz w:val="24"/>
                <w14:textFill>
                  <w14:solidFill>
                    <w14:schemeClr w14:val="tx1"/>
                  </w14:solidFill>
                </w14:textFill>
              </w:rPr>
            </w:pPr>
          </w:p>
        </w:tc>
      </w:tr>
      <w:tr w14:paraId="6A4E4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00AD42AB">
            <w:pPr>
              <w:ind w:firstLine="480" w:firstLineChars="200"/>
              <w:jc w:val="center"/>
              <w:rPr>
                <w:rFonts w:ascii="仿宋" w:hAnsi="仿宋" w:eastAsia="仿宋"/>
                <w:color w:val="000000" w:themeColor="text1"/>
                <w:sz w:val="24"/>
                <w14:textFill>
                  <w14:solidFill>
                    <w14:schemeClr w14:val="tx1"/>
                  </w14:solidFill>
                </w14:textFill>
              </w:rPr>
            </w:pPr>
          </w:p>
        </w:tc>
        <w:tc>
          <w:tcPr>
            <w:tcW w:w="992" w:type="dxa"/>
            <w:vMerge w:val="continue"/>
            <w:vAlign w:val="center"/>
          </w:tcPr>
          <w:p w14:paraId="7C80E601">
            <w:pPr>
              <w:ind w:firstLine="480" w:firstLineChars="200"/>
              <w:jc w:val="center"/>
              <w:rPr>
                <w:rFonts w:ascii="仿宋" w:hAnsi="仿宋" w:eastAsia="仿宋"/>
                <w:color w:val="000000" w:themeColor="text1"/>
                <w:sz w:val="24"/>
                <w14:textFill>
                  <w14:solidFill>
                    <w14:schemeClr w14:val="tx1"/>
                  </w14:solidFill>
                </w14:textFill>
              </w:rPr>
            </w:pPr>
          </w:p>
        </w:tc>
        <w:tc>
          <w:tcPr>
            <w:tcW w:w="1984" w:type="dxa"/>
            <w:vAlign w:val="center"/>
          </w:tcPr>
          <w:p w14:paraId="1155B4D9">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窗帘专用布袋</w:t>
            </w:r>
          </w:p>
        </w:tc>
        <w:tc>
          <w:tcPr>
            <w:tcW w:w="1560" w:type="dxa"/>
            <w:vAlign w:val="center"/>
          </w:tcPr>
          <w:p w14:paraId="40CB33D4">
            <w:pPr>
              <w:ind w:firstLine="360" w:firstLineChars="15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1米</w:t>
            </w:r>
          </w:p>
        </w:tc>
        <w:tc>
          <w:tcPr>
            <w:tcW w:w="1701" w:type="dxa"/>
            <w:vAlign w:val="center"/>
          </w:tcPr>
          <w:p w14:paraId="0DCD759E">
            <w:pPr>
              <w:ind w:firstLine="240" w:firstLineChars="100"/>
              <w:jc w:val="center"/>
              <w:rPr>
                <w:rFonts w:hint="eastAsia"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1</w:t>
            </w:r>
            <w:r>
              <w:rPr>
                <w:rFonts w:hint="eastAsia" w:ascii="仿宋" w:hAnsi="仿宋" w:eastAsia="仿宋"/>
                <w:color w:val="000000" w:themeColor="text1"/>
                <w:sz w:val="24"/>
                <w:lang w:val="en-US" w:eastAsia="zh-CN"/>
                <w14:textFill>
                  <w14:solidFill>
                    <w14:schemeClr w14:val="tx1"/>
                  </w14:solidFill>
                </w14:textFill>
              </w:rPr>
              <w:t>0</w:t>
            </w:r>
          </w:p>
        </w:tc>
        <w:tc>
          <w:tcPr>
            <w:tcW w:w="1275" w:type="dxa"/>
            <w:vAlign w:val="center"/>
          </w:tcPr>
          <w:p w14:paraId="61EBB44F">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continue"/>
            <w:vAlign w:val="center"/>
          </w:tcPr>
          <w:p w14:paraId="5516F007">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continue"/>
            <w:vAlign w:val="center"/>
          </w:tcPr>
          <w:p w14:paraId="0009E4A2">
            <w:pPr>
              <w:ind w:firstLine="720" w:firstLineChars="300"/>
              <w:jc w:val="center"/>
              <w:rPr>
                <w:rFonts w:ascii="仿宋" w:hAnsi="仿宋" w:eastAsia="仿宋"/>
                <w:color w:val="000000" w:themeColor="text1"/>
                <w:sz w:val="24"/>
                <w14:textFill>
                  <w14:solidFill>
                    <w14:schemeClr w14:val="tx1"/>
                  </w14:solidFill>
                </w14:textFill>
              </w:rPr>
            </w:pPr>
          </w:p>
        </w:tc>
      </w:tr>
      <w:tr w14:paraId="66B5C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14:paraId="0C679E23">
            <w:pP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棉门帘</w:t>
            </w:r>
          </w:p>
        </w:tc>
        <w:tc>
          <w:tcPr>
            <w:tcW w:w="992" w:type="dxa"/>
            <w:vMerge w:val="restart"/>
            <w:vAlign w:val="center"/>
          </w:tcPr>
          <w:p w14:paraId="7D10B4BC">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10%</w:t>
            </w:r>
          </w:p>
        </w:tc>
        <w:tc>
          <w:tcPr>
            <w:tcW w:w="1984" w:type="dxa"/>
            <w:vAlign w:val="center"/>
          </w:tcPr>
          <w:p w14:paraId="669717BB">
            <w:pPr>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轨道</w:t>
            </w:r>
          </w:p>
        </w:tc>
        <w:tc>
          <w:tcPr>
            <w:tcW w:w="1560" w:type="dxa"/>
            <w:vAlign w:val="center"/>
          </w:tcPr>
          <w:p w14:paraId="53F0BF4C">
            <w:pPr>
              <w:ind w:firstLine="360" w:firstLineChars="15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1米</w:t>
            </w:r>
          </w:p>
        </w:tc>
        <w:tc>
          <w:tcPr>
            <w:tcW w:w="1701" w:type="dxa"/>
            <w:vAlign w:val="center"/>
          </w:tcPr>
          <w:p w14:paraId="189DBFEE">
            <w:pPr>
              <w:ind w:firstLine="240" w:firstLineChars="100"/>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2</w:t>
            </w:r>
            <w:r>
              <w:rPr>
                <w:rFonts w:hint="eastAsia" w:ascii="仿宋" w:hAnsi="仿宋" w:eastAsia="仿宋"/>
                <w:color w:val="000000" w:themeColor="text1"/>
                <w:sz w:val="24"/>
                <w14:textFill>
                  <w14:solidFill>
                    <w14:schemeClr w14:val="tx1"/>
                  </w14:solidFill>
                </w14:textFill>
              </w:rPr>
              <w:t>5</w:t>
            </w:r>
          </w:p>
        </w:tc>
        <w:tc>
          <w:tcPr>
            <w:tcW w:w="1275" w:type="dxa"/>
            <w:vAlign w:val="center"/>
          </w:tcPr>
          <w:p w14:paraId="644416A5">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restart"/>
            <w:vAlign w:val="center"/>
          </w:tcPr>
          <w:p w14:paraId="5BC2985F">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restart"/>
            <w:vAlign w:val="center"/>
          </w:tcPr>
          <w:p w14:paraId="70178063">
            <w:pPr>
              <w:ind w:firstLine="720" w:firstLineChars="300"/>
              <w:jc w:val="center"/>
              <w:rPr>
                <w:rFonts w:ascii="仿宋" w:hAnsi="仿宋" w:eastAsia="仿宋"/>
                <w:color w:val="000000" w:themeColor="text1"/>
                <w:sz w:val="24"/>
                <w14:textFill>
                  <w14:solidFill>
                    <w14:schemeClr w14:val="tx1"/>
                  </w14:solidFill>
                </w14:textFill>
              </w:rPr>
            </w:pPr>
          </w:p>
        </w:tc>
      </w:tr>
      <w:tr w14:paraId="585DA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0C4E7F15">
            <w:pPr>
              <w:ind w:firstLine="480" w:firstLineChars="200"/>
              <w:jc w:val="center"/>
              <w:rPr>
                <w:rFonts w:ascii="仿宋" w:hAnsi="仿宋" w:eastAsia="仿宋"/>
                <w:color w:val="000000" w:themeColor="text1"/>
                <w:sz w:val="24"/>
                <w14:textFill>
                  <w14:solidFill>
                    <w14:schemeClr w14:val="tx1"/>
                  </w14:solidFill>
                </w14:textFill>
              </w:rPr>
            </w:pPr>
          </w:p>
        </w:tc>
        <w:tc>
          <w:tcPr>
            <w:tcW w:w="992" w:type="dxa"/>
            <w:vMerge w:val="continue"/>
            <w:vAlign w:val="center"/>
          </w:tcPr>
          <w:p w14:paraId="2FC92B47">
            <w:pPr>
              <w:ind w:firstLine="480" w:firstLineChars="200"/>
              <w:jc w:val="center"/>
              <w:rPr>
                <w:rFonts w:ascii="仿宋" w:hAnsi="仿宋" w:eastAsia="仿宋"/>
                <w:color w:val="000000" w:themeColor="text1"/>
                <w:sz w:val="24"/>
                <w14:textFill>
                  <w14:solidFill>
                    <w14:schemeClr w14:val="tx1"/>
                  </w14:solidFill>
                </w14:textFill>
              </w:rPr>
            </w:pPr>
          </w:p>
        </w:tc>
        <w:tc>
          <w:tcPr>
            <w:tcW w:w="1984" w:type="dxa"/>
            <w:vAlign w:val="center"/>
          </w:tcPr>
          <w:p w14:paraId="316C92BB">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螺杆、螺帽</w:t>
            </w:r>
          </w:p>
        </w:tc>
        <w:tc>
          <w:tcPr>
            <w:tcW w:w="1560" w:type="dxa"/>
            <w:vAlign w:val="center"/>
          </w:tcPr>
          <w:p w14:paraId="68C69144">
            <w:pPr>
              <w:ind w:firstLine="360" w:firstLineChars="15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1套</w:t>
            </w:r>
          </w:p>
        </w:tc>
        <w:tc>
          <w:tcPr>
            <w:tcW w:w="1701" w:type="dxa"/>
            <w:vAlign w:val="center"/>
          </w:tcPr>
          <w:p w14:paraId="73656D2E">
            <w:pPr>
              <w:ind w:firstLine="240" w:firstLineChars="100"/>
              <w:jc w:val="center"/>
              <w:rPr>
                <w:rFonts w:hint="eastAsia"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0.</w:t>
            </w:r>
            <w:r>
              <w:rPr>
                <w:rFonts w:hint="eastAsia" w:ascii="仿宋" w:hAnsi="仿宋" w:eastAsia="仿宋"/>
                <w:color w:val="000000" w:themeColor="text1"/>
                <w:sz w:val="24"/>
                <w:lang w:val="en-US" w:eastAsia="zh-CN"/>
                <w14:textFill>
                  <w14:solidFill>
                    <w14:schemeClr w14:val="tx1"/>
                  </w14:solidFill>
                </w14:textFill>
              </w:rPr>
              <w:t>5</w:t>
            </w:r>
          </w:p>
        </w:tc>
        <w:tc>
          <w:tcPr>
            <w:tcW w:w="1275" w:type="dxa"/>
            <w:vAlign w:val="center"/>
          </w:tcPr>
          <w:p w14:paraId="1FAF6F93">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continue"/>
            <w:vAlign w:val="center"/>
          </w:tcPr>
          <w:p w14:paraId="5B5792B2">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continue"/>
            <w:vAlign w:val="center"/>
          </w:tcPr>
          <w:p w14:paraId="3A3E54DA">
            <w:pPr>
              <w:ind w:firstLine="720" w:firstLineChars="300"/>
              <w:jc w:val="center"/>
              <w:rPr>
                <w:rFonts w:ascii="仿宋" w:hAnsi="仿宋" w:eastAsia="仿宋"/>
                <w:color w:val="000000" w:themeColor="text1"/>
                <w:sz w:val="24"/>
                <w14:textFill>
                  <w14:solidFill>
                    <w14:schemeClr w14:val="tx1"/>
                  </w14:solidFill>
                </w14:textFill>
              </w:rPr>
            </w:pPr>
          </w:p>
        </w:tc>
      </w:tr>
      <w:tr w14:paraId="6498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1101" w:type="dxa"/>
            <w:vMerge w:val="continue"/>
            <w:vAlign w:val="center"/>
          </w:tcPr>
          <w:p w14:paraId="08EA0694">
            <w:pPr>
              <w:ind w:firstLine="480" w:firstLineChars="200"/>
              <w:jc w:val="center"/>
              <w:rPr>
                <w:rFonts w:ascii="仿宋" w:hAnsi="仿宋" w:eastAsia="仿宋"/>
                <w:color w:val="000000" w:themeColor="text1"/>
                <w:sz w:val="24"/>
                <w14:textFill>
                  <w14:solidFill>
                    <w14:schemeClr w14:val="tx1"/>
                  </w14:solidFill>
                </w14:textFill>
              </w:rPr>
            </w:pPr>
          </w:p>
        </w:tc>
        <w:tc>
          <w:tcPr>
            <w:tcW w:w="992" w:type="dxa"/>
            <w:vMerge w:val="continue"/>
            <w:vAlign w:val="center"/>
          </w:tcPr>
          <w:p w14:paraId="5C674D64">
            <w:pPr>
              <w:ind w:firstLine="480" w:firstLineChars="200"/>
              <w:jc w:val="center"/>
              <w:rPr>
                <w:rFonts w:ascii="仿宋" w:hAnsi="仿宋" w:eastAsia="仿宋"/>
                <w:color w:val="000000" w:themeColor="text1"/>
                <w:sz w:val="24"/>
                <w14:textFill>
                  <w14:solidFill>
                    <w14:schemeClr w14:val="tx1"/>
                  </w14:solidFill>
                </w14:textFill>
              </w:rPr>
            </w:pPr>
          </w:p>
        </w:tc>
        <w:tc>
          <w:tcPr>
            <w:tcW w:w="1984" w:type="dxa"/>
            <w:vAlign w:val="center"/>
          </w:tcPr>
          <w:p w14:paraId="474F8234">
            <w:pPr>
              <w:ind w:firstLine="360" w:firstLineChars="15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1KG沙袋</w:t>
            </w:r>
          </w:p>
        </w:tc>
        <w:tc>
          <w:tcPr>
            <w:tcW w:w="1560" w:type="dxa"/>
            <w:vAlign w:val="center"/>
          </w:tcPr>
          <w:p w14:paraId="2AA80800">
            <w:pPr>
              <w:ind w:firstLine="360" w:firstLineChars="15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1只</w:t>
            </w:r>
          </w:p>
        </w:tc>
        <w:tc>
          <w:tcPr>
            <w:tcW w:w="1701" w:type="dxa"/>
            <w:vAlign w:val="center"/>
          </w:tcPr>
          <w:p w14:paraId="746325E1">
            <w:pPr>
              <w:ind w:firstLine="240" w:firstLineChars="100"/>
              <w:jc w:val="center"/>
              <w:rPr>
                <w:rFonts w:hint="eastAsia"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5</w:t>
            </w:r>
          </w:p>
        </w:tc>
        <w:tc>
          <w:tcPr>
            <w:tcW w:w="1275" w:type="dxa"/>
            <w:vAlign w:val="center"/>
          </w:tcPr>
          <w:p w14:paraId="121D0D8B">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continue"/>
            <w:vAlign w:val="center"/>
          </w:tcPr>
          <w:p w14:paraId="6E71E522">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continue"/>
            <w:vAlign w:val="center"/>
          </w:tcPr>
          <w:p w14:paraId="24F4DFA2">
            <w:pPr>
              <w:ind w:firstLine="720" w:firstLineChars="300"/>
              <w:jc w:val="center"/>
              <w:rPr>
                <w:rFonts w:ascii="仿宋" w:hAnsi="仿宋" w:eastAsia="仿宋"/>
                <w:color w:val="000000" w:themeColor="text1"/>
                <w:sz w:val="24"/>
                <w14:textFill>
                  <w14:solidFill>
                    <w14:schemeClr w14:val="tx1"/>
                  </w14:solidFill>
                </w14:textFill>
              </w:rPr>
            </w:pPr>
          </w:p>
        </w:tc>
      </w:tr>
      <w:tr w14:paraId="45D01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101" w:type="dxa"/>
            <w:vMerge w:val="continue"/>
            <w:vAlign w:val="center"/>
          </w:tcPr>
          <w:p w14:paraId="009FB9EF">
            <w:pPr>
              <w:ind w:firstLine="480" w:firstLineChars="200"/>
              <w:jc w:val="center"/>
              <w:rPr>
                <w:rFonts w:ascii="仿宋" w:hAnsi="仿宋" w:eastAsia="仿宋"/>
                <w:color w:val="000000" w:themeColor="text1"/>
                <w:sz w:val="24"/>
                <w14:textFill>
                  <w14:solidFill>
                    <w14:schemeClr w14:val="tx1"/>
                  </w14:solidFill>
                </w14:textFill>
              </w:rPr>
            </w:pPr>
          </w:p>
        </w:tc>
        <w:tc>
          <w:tcPr>
            <w:tcW w:w="992" w:type="dxa"/>
            <w:vMerge w:val="continue"/>
            <w:vAlign w:val="center"/>
          </w:tcPr>
          <w:p w14:paraId="617F01A1">
            <w:pPr>
              <w:ind w:firstLine="480" w:firstLineChars="200"/>
              <w:jc w:val="center"/>
              <w:rPr>
                <w:rFonts w:ascii="仿宋" w:hAnsi="仿宋" w:eastAsia="仿宋"/>
                <w:color w:val="000000" w:themeColor="text1"/>
                <w:sz w:val="24"/>
                <w14:textFill>
                  <w14:solidFill>
                    <w14:schemeClr w14:val="tx1"/>
                  </w14:solidFill>
                </w14:textFill>
              </w:rPr>
            </w:pPr>
          </w:p>
        </w:tc>
        <w:tc>
          <w:tcPr>
            <w:tcW w:w="1984" w:type="dxa"/>
            <w:vAlign w:val="center"/>
          </w:tcPr>
          <w:p w14:paraId="5535C8B1">
            <w:pPr>
              <w:ind w:firstLine="360" w:firstLineChars="15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棉门帘</w:t>
            </w:r>
          </w:p>
        </w:tc>
        <w:tc>
          <w:tcPr>
            <w:tcW w:w="1560" w:type="dxa"/>
            <w:vAlign w:val="center"/>
          </w:tcPr>
          <w:p w14:paraId="77C4DAAB">
            <w:pP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3米*2.5米</w:t>
            </w:r>
          </w:p>
        </w:tc>
        <w:tc>
          <w:tcPr>
            <w:tcW w:w="1701" w:type="dxa"/>
            <w:vAlign w:val="center"/>
          </w:tcPr>
          <w:p w14:paraId="287E3B96">
            <w:pPr>
              <w:ind w:firstLine="240" w:firstLineChars="100"/>
              <w:jc w:val="center"/>
              <w:rPr>
                <w:rFonts w:hint="default"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195</w:t>
            </w:r>
          </w:p>
        </w:tc>
        <w:tc>
          <w:tcPr>
            <w:tcW w:w="1275" w:type="dxa"/>
            <w:vAlign w:val="center"/>
          </w:tcPr>
          <w:p w14:paraId="7A2ED8AA">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continue"/>
            <w:vAlign w:val="center"/>
          </w:tcPr>
          <w:p w14:paraId="03ADD3D4">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continue"/>
            <w:vAlign w:val="center"/>
          </w:tcPr>
          <w:p w14:paraId="71AE40F9">
            <w:pPr>
              <w:ind w:firstLine="720" w:firstLineChars="300"/>
              <w:jc w:val="center"/>
              <w:rPr>
                <w:rFonts w:ascii="仿宋" w:hAnsi="仿宋" w:eastAsia="仿宋"/>
                <w:color w:val="000000" w:themeColor="text1"/>
                <w:sz w:val="24"/>
                <w14:textFill>
                  <w14:solidFill>
                    <w14:schemeClr w14:val="tx1"/>
                  </w14:solidFill>
                </w14:textFill>
              </w:rPr>
            </w:pPr>
          </w:p>
        </w:tc>
      </w:tr>
      <w:tr w14:paraId="15D50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101" w:type="dxa"/>
            <w:vAlign w:val="center"/>
          </w:tcPr>
          <w:p w14:paraId="4A22DABF">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软门帘</w:t>
            </w:r>
          </w:p>
        </w:tc>
        <w:tc>
          <w:tcPr>
            <w:tcW w:w="992" w:type="dxa"/>
            <w:vAlign w:val="center"/>
          </w:tcPr>
          <w:p w14:paraId="13CF6CB1">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10%</w:t>
            </w:r>
          </w:p>
        </w:tc>
        <w:tc>
          <w:tcPr>
            <w:tcW w:w="1984" w:type="dxa"/>
            <w:vAlign w:val="center"/>
          </w:tcPr>
          <w:p w14:paraId="0CE3EA3B">
            <w:pPr>
              <w:ind w:firstLine="360" w:firstLineChars="15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软门帘</w:t>
            </w:r>
          </w:p>
        </w:tc>
        <w:tc>
          <w:tcPr>
            <w:tcW w:w="1560" w:type="dxa"/>
            <w:vAlign w:val="center"/>
          </w:tcPr>
          <w:p w14:paraId="33802356">
            <w:pP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3米*2.5米</w:t>
            </w:r>
          </w:p>
        </w:tc>
        <w:tc>
          <w:tcPr>
            <w:tcW w:w="1701" w:type="dxa"/>
            <w:vAlign w:val="center"/>
          </w:tcPr>
          <w:p w14:paraId="09F001D2">
            <w:pPr>
              <w:ind w:firstLine="240" w:firstLineChars="100"/>
              <w:jc w:val="center"/>
              <w:rPr>
                <w:rFonts w:hint="default"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1</w:t>
            </w:r>
            <w:r>
              <w:rPr>
                <w:rFonts w:hint="eastAsia" w:ascii="仿宋" w:hAnsi="仿宋" w:eastAsia="仿宋"/>
                <w:color w:val="000000" w:themeColor="text1"/>
                <w:sz w:val="24"/>
                <w:lang w:val="en-US" w:eastAsia="zh-CN"/>
                <w14:textFill>
                  <w14:solidFill>
                    <w14:schemeClr w14:val="tx1"/>
                  </w14:solidFill>
                </w14:textFill>
              </w:rPr>
              <w:t>80</w:t>
            </w:r>
          </w:p>
        </w:tc>
        <w:tc>
          <w:tcPr>
            <w:tcW w:w="1275" w:type="dxa"/>
            <w:vAlign w:val="center"/>
          </w:tcPr>
          <w:p w14:paraId="07554199">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Align w:val="center"/>
          </w:tcPr>
          <w:p w14:paraId="5643A942">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Align w:val="center"/>
          </w:tcPr>
          <w:p w14:paraId="1B1A4FC0">
            <w:pPr>
              <w:ind w:firstLine="720" w:firstLineChars="300"/>
              <w:jc w:val="center"/>
              <w:rPr>
                <w:rFonts w:ascii="仿宋" w:hAnsi="仿宋" w:eastAsia="仿宋"/>
                <w:color w:val="000000" w:themeColor="text1"/>
                <w:sz w:val="24"/>
                <w14:textFill>
                  <w14:solidFill>
                    <w14:schemeClr w14:val="tx1"/>
                  </w14:solidFill>
                </w14:textFill>
              </w:rPr>
            </w:pPr>
          </w:p>
        </w:tc>
      </w:tr>
      <w:tr w14:paraId="5C6F6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580CA98F">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软玻璃</w:t>
            </w:r>
          </w:p>
        </w:tc>
        <w:tc>
          <w:tcPr>
            <w:tcW w:w="992" w:type="dxa"/>
            <w:vAlign w:val="center"/>
          </w:tcPr>
          <w:p w14:paraId="5F9C799A">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10%</w:t>
            </w:r>
          </w:p>
        </w:tc>
        <w:tc>
          <w:tcPr>
            <w:tcW w:w="1984" w:type="dxa"/>
            <w:vAlign w:val="center"/>
          </w:tcPr>
          <w:p w14:paraId="570395A9">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软玻璃（平方米）</w:t>
            </w:r>
          </w:p>
        </w:tc>
        <w:tc>
          <w:tcPr>
            <w:tcW w:w="1560" w:type="dxa"/>
            <w:vAlign w:val="center"/>
          </w:tcPr>
          <w:p w14:paraId="61FF16D0">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60cm*120cm</w:t>
            </w:r>
          </w:p>
        </w:tc>
        <w:tc>
          <w:tcPr>
            <w:tcW w:w="1701" w:type="dxa"/>
            <w:vAlign w:val="center"/>
          </w:tcPr>
          <w:p w14:paraId="75CAF8F6">
            <w:pPr>
              <w:ind w:firstLine="240" w:firstLineChars="100"/>
              <w:jc w:val="center"/>
              <w:rPr>
                <w:rFonts w:hint="default"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52</w:t>
            </w:r>
          </w:p>
        </w:tc>
        <w:tc>
          <w:tcPr>
            <w:tcW w:w="1275" w:type="dxa"/>
            <w:vAlign w:val="center"/>
          </w:tcPr>
          <w:p w14:paraId="6C9EAA25">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Align w:val="center"/>
          </w:tcPr>
          <w:p w14:paraId="33E0435E">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Align w:val="center"/>
          </w:tcPr>
          <w:p w14:paraId="3AC93765">
            <w:pPr>
              <w:ind w:firstLine="720" w:firstLineChars="300"/>
              <w:jc w:val="center"/>
              <w:rPr>
                <w:rFonts w:ascii="仿宋" w:hAnsi="仿宋" w:eastAsia="仿宋"/>
                <w:color w:val="000000" w:themeColor="text1"/>
                <w:sz w:val="24"/>
                <w14:textFill>
                  <w14:solidFill>
                    <w14:schemeClr w14:val="tx1"/>
                  </w14:solidFill>
                </w14:textFill>
              </w:rPr>
            </w:pPr>
          </w:p>
        </w:tc>
      </w:tr>
      <w:tr w14:paraId="63DAD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14:paraId="02F5D9B1">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沙发套</w:t>
            </w:r>
          </w:p>
        </w:tc>
        <w:tc>
          <w:tcPr>
            <w:tcW w:w="992" w:type="dxa"/>
            <w:vMerge w:val="restart"/>
            <w:vAlign w:val="center"/>
          </w:tcPr>
          <w:p w14:paraId="465D4005">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5%</w:t>
            </w:r>
          </w:p>
        </w:tc>
        <w:tc>
          <w:tcPr>
            <w:tcW w:w="1984" w:type="dxa"/>
            <w:vAlign w:val="center"/>
          </w:tcPr>
          <w:p w14:paraId="10DDE9D5">
            <w:pPr>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单人沙发</w:t>
            </w:r>
          </w:p>
        </w:tc>
        <w:tc>
          <w:tcPr>
            <w:tcW w:w="1560" w:type="dxa"/>
            <w:vAlign w:val="center"/>
          </w:tcPr>
          <w:p w14:paraId="71964C45">
            <w:pPr>
              <w:ind w:firstLine="360" w:firstLineChars="15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1套</w:t>
            </w:r>
          </w:p>
        </w:tc>
        <w:tc>
          <w:tcPr>
            <w:tcW w:w="1701" w:type="dxa"/>
            <w:vAlign w:val="center"/>
          </w:tcPr>
          <w:p w14:paraId="3F976CED">
            <w:pPr>
              <w:ind w:firstLine="240" w:firstLineChars="100"/>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1</w:t>
            </w:r>
            <w:r>
              <w:rPr>
                <w:rFonts w:hint="eastAsia" w:ascii="仿宋" w:hAnsi="仿宋" w:eastAsia="仿宋"/>
                <w:color w:val="000000" w:themeColor="text1"/>
                <w:sz w:val="24"/>
                <w14:textFill>
                  <w14:solidFill>
                    <w14:schemeClr w14:val="tx1"/>
                  </w14:solidFill>
                </w14:textFill>
              </w:rPr>
              <w:t>50</w:t>
            </w:r>
          </w:p>
        </w:tc>
        <w:tc>
          <w:tcPr>
            <w:tcW w:w="1275" w:type="dxa"/>
            <w:vAlign w:val="center"/>
          </w:tcPr>
          <w:p w14:paraId="5BF0A98B">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restart"/>
            <w:vAlign w:val="center"/>
          </w:tcPr>
          <w:p w14:paraId="22971323">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restart"/>
            <w:vAlign w:val="center"/>
          </w:tcPr>
          <w:p w14:paraId="102DDC0B">
            <w:pPr>
              <w:ind w:firstLine="720" w:firstLineChars="300"/>
              <w:jc w:val="center"/>
              <w:rPr>
                <w:rFonts w:ascii="仿宋" w:hAnsi="仿宋" w:eastAsia="仿宋"/>
                <w:color w:val="000000" w:themeColor="text1"/>
                <w:sz w:val="24"/>
                <w14:textFill>
                  <w14:solidFill>
                    <w14:schemeClr w14:val="tx1"/>
                  </w14:solidFill>
                </w14:textFill>
              </w:rPr>
            </w:pPr>
          </w:p>
        </w:tc>
      </w:tr>
      <w:tr w14:paraId="18C10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02C6D18A">
            <w:pPr>
              <w:ind w:firstLine="720" w:firstLineChars="300"/>
              <w:jc w:val="center"/>
              <w:rPr>
                <w:rFonts w:ascii="仿宋" w:hAnsi="仿宋" w:eastAsia="仿宋"/>
                <w:color w:val="000000" w:themeColor="text1"/>
                <w:sz w:val="24"/>
                <w14:textFill>
                  <w14:solidFill>
                    <w14:schemeClr w14:val="tx1"/>
                  </w14:solidFill>
                </w14:textFill>
              </w:rPr>
            </w:pPr>
          </w:p>
        </w:tc>
        <w:tc>
          <w:tcPr>
            <w:tcW w:w="992" w:type="dxa"/>
            <w:vMerge w:val="continue"/>
            <w:vAlign w:val="center"/>
          </w:tcPr>
          <w:p w14:paraId="7E782D94">
            <w:pPr>
              <w:ind w:firstLine="720" w:firstLineChars="300"/>
              <w:jc w:val="center"/>
              <w:rPr>
                <w:rFonts w:ascii="仿宋" w:hAnsi="仿宋" w:eastAsia="仿宋"/>
                <w:color w:val="000000" w:themeColor="text1"/>
                <w:sz w:val="24"/>
                <w14:textFill>
                  <w14:solidFill>
                    <w14:schemeClr w14:val="tx1"/>
                  </w14:solidFill>
                </w14:textFill>
              </w:rPr>
            </w:pPr>
          </w:p>
        </w:tc>
        <w:tc>
          <w:tcPr>
            <w:tcW w:w="1984" w:type="dxa"/>
            <w:vAlign w:val="center"/>
          </w:tcPr>
          <w:p w14:paraId="74B05CB4">
            <w:pPr>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三人沙发</w:t>
            </w:r>
          </w:p>
        </w:tc>
        <w:tc>
          <w:tcPr>
            <w:tcW w:w="1560" w:type="dxa"/>
            <w:vAlign w:val="center"/>
          </w:tcPr>
          <w:p w14:paraId="71A33A2E">
            <w:pPr>
              <w:ind w:firstLine="360" w:firstLineChars="15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1套</w:t>
            </w:r>
          </w:p>
        </w:tc>
        <w:tc>
          <w:tcPr>
            <w:tcW w:w="1701" w:type="dxa"/>
            <w:vAlign w:val="center"/>
          </w:tcPr>
          <w:p w14:paraId="5D59EF40">
            <w:pPr>
              <w:ind w:firstLine="240" w:firstLineChars="100"/>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26</w:t>
            </w:r>
            <w:r>
              <w:rPr>
                <w:rFonts w:hint="eastAsia" w:ascii="仿宋" w:hAnsi="仿宋" w:eastAsia="仿宋"/>
                <w:color w:val="000000" w:themeColor="text1"/>
                <w:sz w:val="24"/>
                <w14:textFill>
                  <w14:solidFill>
                    <w14:schemeClr w14:val="tx1"/>
                  </w14:solidFill>
                </w14:textFill>
              </w:rPr>
              <w:t>0</w:t>
            </w:r>
          </w:p>
        </w:tc>
        <w:tc>
          <w:tcPr>
            <w:tcW w:w="1275" w:type="dxa"/>
            <w:vAlign w:val="center"/>
          </w:tcPr>
          <w:p w14:paraId="30FC46C9">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continue"/>
            <w:vAlign w:val="center"/>
          </w:tcPr>
          <w:p w14:paraId="0279C743">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continue"/>
            <w:vAlign w:val="center"/>
          </w:tcPr>
          <w:p w14:paraId="28E8614D">
            <w:pPr>
              <w:ind w:firstLine="720" w:firstLineChars="300"/>
              <w:jc w:val="center"/>
              <w:rPr>
                <w:rFonts w:ascii="仿宋" w:hAnsi="仿宋" w:eastAsia="仿宋"/>
                <w:color w:val="000000" w:themeColor="text1"/>
                <w:sz w:val="24"/>
                <w14:textFill>
                  <w14:solidFill>
                    <w14:schemeClr w14:val="tx1"/>
                  </w14:solidFill>
                </w14:textFill>
              </w:rPr>
            </w:pPr>
          </w:p>
        </w:tc>
      </w:tr>
      <w:tr w14:paraId="6976F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14:paraId="5DBAF0A2">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卷帘</w:t>
            </w:r>
          </w:p>
        </w:tc>
        <w:tc>
          <w:tcPr>
            <w:tcW w:w="992" w:type="dxa"/>
            <w:vMerge w:val="restart"/>
            <w:vAlign w:val="center"/>
          </w:tcPr>
          <w:p w14:paraId="5E749029">
            <w:pPr>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25%</w:t>
            </w:r>
          </w:p>
        </w:tc>
        <w:tc>
          <w:tcPr>
            <w:tcW w:w="1984" w:type="dxa"/>
            <w:vAlign w:val="center"/>
          </w:tcPr>
          <w:p w14:paraId="6264A738">
            <w:pPr>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卷帘布</w:t>
            </w:r>
          </w:p>
        </w:tc>
        <w:tc>
          <w:tcPr>
            <w:tcW w:w="1560" w:type="dxa"/>
            <w:vAlign w:val="center"/>
          </w:tcPr>
          <w:p w14:paraId="3CE23BBD">
            <w:pPr>
              <w:ind w:firstLine="240" w:firstLineChars="1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1米*2米</w:t>
            </w:r>
          </w:p>
        </w:tc>
        <w:tc>
          <w:tcPr>
            <w:tcW w:w="1701" w:type="dxa"/>
            <w:vAlign w:val="center"/>
          </w:tcPr>
          <w:p w14:paraId="75268352">
            <w:pPr>
              <w:ind w:firstLine="240" w:firstLineChars="100"/>
              <w:jc w:val="center"/>
              <w:rPr>
                <w:rFonts w:hint="default"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80</w:t>
            </w:r>
          </w:p>
        </w:tc>
        <w:tc>
          <w:tcPr>
            <w:tcW w:w="1275" w:type="dxa"/>
            <w:vAlign w:val="center"/>
          </w:tcPr>
          <w:p w14:paraId="5BE818C5">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restart"/>
            <w:vAlign w:val="center"/>
          </w:tcPr>
          <w:p w14:paraId="2756116D">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restart"/>
            <w:vAlign w:val="center"/>
          </w:tcPr>
          <w:p w14:paraId="047C60D8">
            <w:pPr>
              <w:ind w:firstLine="720" w:firstLineChars="300"/>
              <w:jc w:val="center"/>
              <w:rPr>
                <w:rFonts w:ascii="仿宋" w:hAnsi="仿宋" w:eastAsia="仿宋"/>
                <w:color w:val="000000" w:themeColor="text1"/>
                <w:sz w:val="24"/>
                <w14:textFill>
                  <w14:solidFill>
                    <w14:schemeClr w14:val="tx1"/>
                  </w14:solidFill>
                </w14:textFill>
              </w:rPr>
            </w:pPr>
          </w:p>
        </w:tc>
      </w:tr>
      <w:tr w14:paraId="1E82D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3C50A94B">
            <w:pPr>
              <w:ind w:firstLine="720" w:firstLineChars="300"/>
              <w:jc w:val="center"/>
              <w:rPr>
                <w:rFonts w:ascii="仿宋" w:hAnsi="仿宋" w:eastAsia="仿宋"/>
                <w:color w:val="000000" w:themeColor="text1"/>
                <w:sz w:val="24"/>
                <w14:textFill>
                  <w14:solidFill>
                    <w14:schemeClr w14:val="tx1"/>
                  </w14:solidFill>
                </w14:textFill>
              </w:rPr>
            </w:pPr>
          </w:p>
        </w:tc>
        <w:tc>
          <w:tcPr>
            <w:tcW w:w="992" w:type="dxa"/>
            <w:vMerge w:val="continue"/>
            <w:vAlign w:val="center"/>
          </w:tcPr>
          <w:p w14:paraId="55E69FBF">
            <w:pPr>
              <w:ind w:firstLine="720" w:firstLineChars="300"/>
              <w:jc w:val="center"/>
              <w:rPr>
                <w:rFonts w:ascii="仿宋" w:hAnsi="仿宋" w:eastAsia="仿宋"/>
                <w:color w:val="000000" w:themeColor="text1"/>
                <w:sz w:val="24"/>
                <w14:textFill>
                  <w14:solidFill>
                    <w14:schemeClr w14:val="tx1"/>
                  </w14:solidFill>
                </w14:textFill>
              </w:rPr>
            </w:pPr>
          </w:p>
        </w:tc>
        <w:tc>
          <w:tcPr>
            <w:tcW w:w="1984" w:type="dxa"/>
            <w:vAlign w:val="center"/>
          </w:tcPr>
          <w:p w14:paraId="57175B0A">
            <w:pPr>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拉珠</w:t>
            </w:r>
          </w:p>
        </w:tc>
        <w:tc>
          <w:tcPr>
            <w:tcW w:w="1560" w:type="dxa"/>
            <w:vAlign w:val="center"/>
          </w:tcPr>
          <w:p w14:paraId="359459A6">
            <w:pPr>
              <w:ind w:firstLine="360" w:firstLineChars="15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1付</w:t>
            </w:r>
          </w:p>
        </w:tc>
        <w:tc>
          <w:tcPr>
            <w:tcW w:w="1701" w:type="dxa"/>
            <w:vAlign w:val="center"/>
          </w:tcPr>
          <w:p w14:paraId="66EB86B1">
            <w:pPr>
              <w:ind w:firstLine="240" w:firstLineChars="100"/>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5</w:t>
            </w:r>
            <w:r>
              <w:rPr>
                <w:rFonts w:hint="eastAsia" w:ascii="仿宋" w:hAnsi="仿宋" w:eastAsia="仿宋"/>
                <w:color w:val="000000" w:themeColor="text1"/>
                <w:sz w:val="24"/>
                <w14:textFill>
                  <w14:solidFill>
                    <w14:schemeClr w14:val="tx1"/>
                  </w14:solidFill>
                </w14:textFill>
              </w:rPr>
              <w:t>0</w:t>
            </w:r>
          </w:p>
        </w:tc>
        <w:tc>
          <w:tcPr>
            <w:tcW w:w="1275" w:type="dxa"/>
            <w:vAlign w:val="center"/>
          </w:tcPr>
          <w:p w14:paraId="43FA87CB">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continue"/>
            <w:vAlign w:val="center"/>
          </w:tcPr>
          <w:p w14:paraId="739E3FAA">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continue"/>
            <w:vAlign w:val="center"/>
          </w:tcPr>
          <w:p w14:paraId="7CC974C8">
            <w:pPr>
              <w:ind w:firstLine="720" w:firstLineChars="300"/>
              <w:jc w:val="center"/>
              <w:rPr>
                <w:rFonts w:ascii="仿宋" w:hAnsi="仿宋" w:eastAsia="仿宋"/>
                <w:color w:val="000000" w:themeColor="text1"/>
                <w:sz w:val="24"/>
                <w14:textFill>
                  <w14:solidFill>
                    <w14:schemeClr w14:val="tx1"/>
                  </w14:solidFill>
                </w14:textFill>
              </w:rPr>
            </w:pPr>
          </w:p>
        </w:tc>
      </w:tr>
      <w:tr w14:paraId="77AE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3132A00B">
            <w:pPr>
              <w:ind w:firstLine="720" w:firstLineChars="300"/>
              <w:jc w:val="center"/>
              <w:rPr>
                <w:rFonts w:ascii="仿宋" w:hAnsi="仿宋" w:eastAsia="仿宋"/>
                <w:color w:val="000000" w:themeColor="text1"/>
                <w:sz w:val="24"/>
                <w14:textFill>
                  <w14:solidFill>
                    <w14:schemeClr w14:val="tx1"/>
                  </w14:solidFill>
                </w14:textFill>
              </w:rPr>
            </w:pPr>
          </w:p>
        </w:tc>
        <w:tc>
          <w:tcPr>
            <w:tcW w:w="992" w:type="dxa"/>
            <w:vMerge w:val="continue"/>
            <w:vAlign w:val="center"/>
          </w:tcPr>
          <w:p w14:paraId="1AA3CBAE">
            <w:pPr>
              <w:ind w:firstLine="720" w:firstLineChars="300"/>
              <w:jc w:val="center"/>
              <w:rPr>
                <w:rFonts w:ascii="仿宋" w:hAnsi="仿宋" w:eastAsia="仿宋"/>
                <w:color w:val="000000" w:themeColor="text1"/>
                <w:sz w:val="24"/>
                <w14:textFill>
                  <w14:solidFill>
                    <w14:schemeClr w14:val="tx1"/>
                  </w14:solidFill>
                </w14:textFill>
              </w:rPr>
            </w:pPr>
          </w:p>
        </w:tc>
        <w:tc>
          <w:tcPr>
            <w:tcW w:w="1984" w:type="dxa"/>
            <w:vAlign w:val="center"/>
          </w:tcPr>
          <w:p w14:paraId="29D6BD3B">
            <w:pPr>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卷帘下梁</w:t>
            </w:r>
          </w:p>
        </w:tc>
        <w:tc>
          <w:tcPr>
            <w:tcW w:w="1560" w:type="dxa"/>
            <w:vAlign w:val="center"/>
          </w:tcPr>
          <w:p w14:paraId="285211CB">
            <w:pPr>
              <w:ind w:firstLine="360" w:firstLineChars="15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1米</w:t>
            </w:r>
          </w:p>
        </w:tc>
        <w:tc>
          <w:tcPr>
            <w:tcW w:w="1701" w:type="dxa"/>
            <w:vAlign w:val="center"/>
          </w:tcPr>
          <w:p w14:paraId="786BD469">
            <w:pPr>
              <w:ind w:firstLine="240" w:firstLineChars="100"/>
              <w:jc w:val="center"/>
              <w:rPr>
                <w:rFonts w:hint="eastAsia"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3</w:t>
            </w:r>
            <w:r>
              <w:rPr>
                <w:rFonts w:hint="eastAsia" w:ascii="仿宋" w:hAnsi="仿宋" w:eastAsia="仿宋"/>
                <w:color w:val="000000" w:themeColor="text1"/>
                <w:sz w:val="24"/>
                <w:lang w:val="en-US" w:eastAsia="zh-CN"/>
                <w14:textFill>
                  <w14:solidFill>
                    <w14:schemeClr w14:val="tx1"/>
                  </w14:solidFill>
                </w14:textFill>
              </w:rPr>
              <w:t>0</w:t>
            </w:r>
          </w:p>
        </w:tc>
        <w:tc>
          <w:tcPr>
            <w:tcW w:w="1275" w:type="dxa"/>
            <w:vAlign w:val="center"/>
          </w:tcPr>
          <w:p w14:paraId="7A29E6D5">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continue"/>
            <w:vAlign w:val="center"/>
          </w:tcPr>
          <w:p w14:paraId="4A9EBBE2">
            <w:pPr>
              <w:ind w:firstLine="720" w:firstLineChars="300"/>
              <w:jc w:val="center"/>
              <w:rPr>
                <w:rFonts w:ascii="仿宋" w:hAnsi="仿宋" w:eastAsia="仿宋"/>
                <w:color w:val="000000" w:themeColor="text1"/>
                <w:sz w:val="24"/>
                <w14:textFill>
                  <w14:solidFill>
                    <w14:schemeClr w14:val="tx1"/>
                  </w14:solidFill>
                </w14:textFill>
              </w:rPr>
            </w:pPr>
          </w:p>
        </w:tc>
        <w:tc>
          <w:tcPr>
            <w:tcW w:w="1276" w:type="dxa"/>
            <w:vMerge w:val="continue"/>
            <w:vAlign w:val="center"/>
          </w:tcPr>
          <w:p w14:paraId="12DD013F">
            <w:pPr>
              <w:ind w:firstLine="720" w:firstLineChars="300"/>
              <w:jc w:val="center"/>
              <w:rPr>
                <w:rFonts w:ascii="仿宋" w:hAnsi="仿宋" w:eastAsia="仿宋"/>
                <w:color w:val="000000" w:themeColor="text1"/>
                <w:sz w:val="24"/>
                <w14:textFill>
                  <w14:solidFill>
                    <w14:schemeClr w14:val="tx1"/>
                  </w14:solidFill>
                </w14:textFill>
              </w:rPr>
            </w:pPr>
          </w:p>
        </w:tc>
      </w:tr>
      <w:tr w14:paraId="21EFD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9" w:type="dxa"/>
            <w:gridSpan w:val="7"/>
            <w:vAlign w:val="center"/>
          </w:tcPr>
          <w:p w14:paraId="27155595">
            <w:pPr>
              <w:ind w:firstLine="720" w:firstLineChars="300"/>
              <w:jc w:val="center"/>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z w:val="24"/>
                <w14:textFill>
                  <w14:solidFill>
                    <w14:schemeClr w14:val="tx1"/>
                  </w14:solidFill>
                </w14:textFill>
              </w:rPr>
              <w:t>综合</w:t>
            </w:r>
            <w:r>
              <w:rPr>
                <w:rFonts w:hint="eastAsia" w:ascii="仿宋" w:hAnsi="仿宋" w:eastAsia="仿宋"/>
                <w:color w:val="000000" w:themeColor="text1"/>
                <w:sz w:val="24"/>
                <w:lang w:val="en-US" w:eastAsia="zh-CN"/>
                <w14:textFill>
                  <w14:solidFill>
                    <w14:schemeClr w14:val="tx1"/>
                  </w14:solidFill>
                </w14:textFill>
              </w:rPr>
              <w:t>占比</w:t>
            </w:r>
            <w:r>
              <w:rPr>
                <w:rFonts w:ascii="仿宋" w:hAnsi="仿宋" w:eastAsia="仿宋"/>
                <w:color w:val="000000" w:themeColor="text1"/>
                <w:sz w:val="24"/>
                <w14:textFill>
                  <w14:solidFill>
                    <w14:schemeClr w14:val="tx1"/>
                  </w14:solidFill>
                </w14:textFill>
              </w:rPr>
              <w:t>总价</w:t>
            </w:r>
          </w:p>
        </w:tc>
        <w:tc>
          <w:tcPr>
            <w:tcW w:w="1276" w:type="dxa"/>
            <w:vAlign w:val="center"/>
          </w:tcPr>
          <w:p w14:paraId="10E53017">
            <w:pPr>
              <w:ind w:firstLine="720" w:firstLineChars="300"/>
              <w:jc w:val="center"/>
              <w:rPr>
                <w:rFonts w:ascii="仿宋" w:hAnsi="仿宋" w:eastAsia="仿宋"/>
                <w:color w:val="000000" w:themeColor="text1"/>
                <w:sz w:val="24"/>
                <w14:textFill>
                  <w14:solidFill>
                    <w14:schemeClr w14:val="tx1"/>
                  </w14:solidFill>
                </w14:textFill>
              </w:rPr>
            </w:pPr>
          </w:p>
        </w:tc>
      </w:tr>
    </w:tbl>
    <w:p w14:paraId="11DDCBA8">
      <w:pPr>
        <w:adjustRightInd w:val="0"/>
        <w:spacing w:line="440" w:lineRule="exact"/>
        <w:ind w:firstLine="480" w:firstLineChars="200"/>
        <w:jc w:val="left"/>
        <w:rPr>
          <w:rFonts w:ascii="仿宋" w:hAnsi="仿宋" w:eastAsia="仿宋"/>
          <w:color w:val="FF0000"/>
          <w:sz w:val="24"/>
        </w:rPr>
      </w:pPr>
      <w:r>
        <w:rPr>
          <w:rFonts w:hint="eastAsia" w:ascii="仿宋" w:hAnsi="仿宋" w:eastAsia="仿宋"/>
          <w:color w:val="FF0000"/>
          <w:sz w:val="24"/>
        </w:rPr>
        <w:t>注:1.报价单位须按要求填写报价单，不填、漏填、错填的均为无效报价。</w:t>
      </w:r>
    </w:p>
    <w:p w14:paraId="3527A592">
      <w:pPr>
        <w:adjustRightInd w:val="0"/>
        <w:spacing w:line="440" w:lineRule="exact"/>
        <w:ind w:firstLine="840" w:firstLineChars="350"/>
        <w:rPr>
          <w:rFonts w:ascii="仿宋" w:hAnsi="仿宋" w:eastAsia="仿宋"/>
          <w:color w:val="FF0000"/>
          <w:sz w:val="28"/>
          <w:szCs w:val="28"/>
        </w:rPr>
      </w:pPr>
      <w:r>
        <w:rPr>
          <w:rFonts w:hint="eastAsia" w:ascii="仿宋" w:hAnsi="仿宋" w:eastAsia="仿宋"/>
          <w:color w:val="FF0000"/>
          <w:sz w:val="24"/>
        </w:rPr>
        <w:t>2.报价单位须承诺更换价格不高于市场价，如发现价格高于市场价将服务商列入黑名单，不再允许参加医院各项招标活动</w:t>
      </w:r>
      <w:r>
        <w:rPr>
          <w:rFonts w:hint="eastAsia" w:ascii="仿宋" w:hAnsi="仿宋" w:eastAsia="仿宋"/>
          <w:color w:val="FF0000"/>
          <w:sz w:val="28"/>
          <w:szCs w:val="28"/>
        </w:rPr>
        <w:t>。</w:t>
      </w:r>
    </w:p>
    <w:p w14:paraId="463E0E37">
      <w:pPr>
        <w:adjustRightInd w:val="0"/>
        <w:spacing w:line="440" w:lineRule="exact"/>
        <w:ind w:firstLine="560" w:firstLineChars="200"/>
        <w:rPr>
          <w:rFonts w:ascii="仿宋" w:hAnsi="仿宋" w:eastAsia="仿宋" w:cs="仿宋"/>
          <w:sz w:val="28"/>
          <w:szCs w:val="28"/>
        </w:rPr>
      </w:pPr>
      <w:r>
        <w:rPr>
          <w:rFonts w:hint="eastAsia" w:ascii="仿宋" w:hAnsi="仿宋" w:eastAsia="仿宋"/>
          <w:color w:val="000000" w:themeColor="text1"/>
          <w:sz w:val="28"/>
          <w:szCs w:val="28"/>
          <w14:textFill>
            <w14:solidFill>
              <w14:schemeClr w14:val="tx1"/>
            </w14:solidFill>
          </w14:textFill>
        </w:rPr>
        <w:t>1.2</w:t>
      </w:r>
      <w:r>
        <w:rPr>
          <w:rFonts w:hint="eastAsia" w:ascii="仿宋" w:hAnsi="仿宋" w:eastAsia="仿宋" w:cs="仿宋"/>
          <w:kern w:val="0"/>
          <w:sz w:val="28"/>
          <w:szCs w:val="28"/>
        </w:rPr>
        <w:t>服务内容：主要针对院区、人才住房、集体宿舍等场所内的窗帘制品制作、安装、维修</w:t>
      </w:r>
      <w:r>
        <w:rPr>
          <w:rFonts w:hint="eastAsia" w:ascii="仿宋" w:hAnsi="仿宋" w:eastAsia="仿宋" w:cs="仿宋"/>
          <w:color w:val="000000" w:themeColor="text1"/>
          <w:kern w:val="0"/>
          <w:sz w:val="28"/>
          <w:szCs w:val="28"/>
          <w:shd w:val="clear" w:color="auto" w:fill="FFFFFF"/>
          <w14:textFill>
            <w14:solidFill>
              <w14:schemeClr w14:val="tx1"/>
            </w14:solidFill>
          </w14:textFill>
        </w:rPr>
        <w:t>等，主要包括</w:t>
      </w:r>
      <w:r>
        <w:rPr>
          <w:rFonts w:hint="eastAsia" w:ascii="仿宋" w:hAnsi="仿宋" w:eastAsia="仿宋" w:cs="仿宋"/>
          <w:color w:val="000000" w:themeColor="text1"/>
          <w:sz w:val="28"/>
          <w:szCs w:val="28"/>
          <w14:textFill>
            <w14:solidFill>
              <w14:schemeClr w14:val="tx1"/>
            </w14:solidFill>
          </w14:textFill>
        </w:rPr>
        <w:t>窗帘、隔帘、门帘、软玻璃、沙发套</w:t>
      </w:r>
      <w:r>
        <w:rPr>
          <w:rFonts w:hint="eastAsia" w:ascii="仿宋" w:hAnsi="仿宋" w:eastAsia="仿宋" w:cs="仿宋"/>
          <w:sz w:val="28"/>
          <w:szCs w:val="28"/>
        </w:rPr>
        <w:t>等。</w:t>
      </w:r>
    </w:p>
    <w:p w14:paraId="2C8889A8">
      <w:pPr>
        <w:widowControl/>
        <w:snapToGrid w:val="0"/>
        <w:ind w:firstLine="560" w:firstLineChars="200"/>
        <w:jc w:val="left"/>
        <w:rPr>
          <w:rFonts w:ascii="仿宋" w:hAnsi="仿宋" w:eastAsia="仿宋" w:cs="仿宋"/>
          <w:sz w:val="28"/>
          <w:szCs w:val="28"/>
        </w:rPr>
      </w:pPr>
      <w:r>
        <w:rPr>
          <w:rFonts w:hint="eastAsia" w:ascii="仿宋" w:hAnsi="仿宋" w:eastAsia="仿宋" w:cs="仿宋"/>
          <w:sz w:val="28"/>
          <w:szCs w:val="28"/>
        </w:rPr>
        <w:t>1.3服务要求：</w:t>
      </w:r>
    </w:p>
    <w:p w14:paraId="5BCBE42D">
      <w:pPr>
        <w:widowControl/>
        <w:snapToGrid w:val="0"/>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（1）接到报修电话1小时内必须到达现场</w:t>
      </w:r>
      <w:r>
        <w:rPr>
          <w:rFonts w:hint="eastAsia" w:ascii="仿宋" w:hAnsi="仿宋" w:eastAsia="仿宋" w:cs="仿宋"/>
          <w:color w:val="FF0000"/>
          <w:sz w:val="28"/>
          <w:szCs w:val="28"/>
          <w:highlight w:val="none"/>
          <w:lang w:eastAsia="zh-CN"/>
        </w:rPr>
        <w:t>（</w:t>
      </w:r>
      <w:r>
        <w:rPr>
          <w:rFonts w:hint="eastAsia" w:ascii="仿宋" w:hAnsi="仿宋" w:eastAsia="仿宋" w:cs="仿宋"/>
          <w:color w:val="FF0000"/>
          <w:sz w:val="28"/>
          <w:szCs w:val="28"/>
          <w:highlight w:val="none"/>
          <w:lang w:val="en-US" w:eastAsia="zh-CN"/>
        </w:rPr>
        <w:t>提供相关证明材料</w:t>
      </w:r>
      <w:r>
        <w:rPr>
          <w:rFonts w:hint="eastAsia" w:ascii="仿宋" w:hAnsi="仿宋" w:eastAsia="仿宋" w:cs="仿宋"/>
          <w:color w:val="FF0000"/>
          <w:sz w:val="28"/>
          <w:szCs w:val="28"/>
          <w:highlight w:val="none"/>
          <w:lang w:eastAsia="zh-CN"/>
        </w:rPr>
        <w:t>）</w:t>
      </w:r>
      <w:r>
        <w:rPr>
          <w:rFonts w:hint="eastAsia" w:ascii="仿宋" w:hAnsi="仿宋" w:eastAsia="仿宋" w:cs="仿宋"/>
          <w:color w:val="000000" w:themeColor="text1"/>
          <w:sz w:val="28"/>
          <w:szCs w:val="28"/>
          <w14:textFill>
            <w14:solidFill>
              <w14:schemeClr w14:val="tx1"/>
            </w14:solidFill>
          </w14:textFill>
        </w:rPr>
        <w:t>；</w:t>
      </w:r>
    </w:p>
    <w:p w14:paraId="3346A457">
      <w:pPr>
        <w:widowControl/>
        <w:tabs>
          <w:tab w:val="left" w:pos="312"/>
        </w:tabs>
        <w:adjustRightInd w:val="0"/>
        <w:snapToGrid w:val="0"/>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（2）维修完成后验收单要由科室签字确认，</w:t>
      </w:r>
      <w:r>
        <w:rPr>
          <w:rFonts w:hint="eastAsia" w:ascii="仿宋" w:hAnsi="仿宋" w:eastAsia="仿宋" w:cs="仿宋"/>
          <w:color w:val="FF0000"/>
          <w:sz w:val="28"/>
          <w:szCs w:val="28"/>
        </w:rPr>
        <w:t>所有安全问题均有中标单位自行负责，与院方无关（验收单详见附件四）</w:t>
      </w:r>
      <w:r>
        <w:rPr>
          <w:rFonts w:hint="eastAsia" w:ascii="仿宋" w:hAnsi="仿宋" w:eastAsia="仿宋" w:cs="仿宋"/>
          <w:color w:val="000000" w:themeColor="text1"/>
          <w:sz w:val="28"/>
          <w:szCs w:val="28"/>
          <w14:textFill>
            <w14:solidFill>
              <w14:schemeClr w14:val="tx1"/>
            </w14:solidFill>
          </w14:textFill>
        </w:rPr>
        <w:t>；</w:t>
      </w:r>
    </w:p>
    <w:p w14:paraId="794406FC">
      <w:pPr>
        <w:widowControl/>
        <w:tabs>
          <w:tab w:val="left" w:pos="312"/>
        </w:tabs>
        <w:adjustRightInd w:val="0"/>
        <w:snapToGrid w:val="0"/>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（3）维修质保期2年（以科室签署验收单开始计算质保时间，人为故障除外）；</w:t>
      </w:r>
    </w:p>
    <w:p w14:paraId="076EDD01">
      <w:pPr>
        <w:widowControl/>
        <w:spacing w:line="440" w:lineRule="exact"/>
        <w:ind w:firstLine="560" w:firstLineChars="200"/>
        <w:textAlignment w:val="center"/>
        <w:rPr>
          <w:rFonts w:ascii="仿宋" w:hAnsi="仿宋" w:eastAsia="仿宋"/>
          <w:sz w:val="28"/>
          <w:szCs w:val="28"/>
        </w:rPr>
      </w:pPr>
      <w:r>
        <w:rPr>
          <w:rFonts w:hint="eastAsia" w:ascii="仿宋" w:hAnsi="仿宋" w:eastAsia="仿宋"/>
          <w:sz w:val="28"/>
          <w:szCs w:val="28"/>
        </w:rPr>
        <w:t>1.4资质要求：</w:t>
      </w:r>
    </w:p>
    <w:p w14:paraId="3C087073">
      <w:pPr>
        <w:widowControl/>
        <w:tabs>
          <w:tab w:val="left" w:pos="312"/>
        </w:tabs>
        <w:adjustRightInd w:val="0"/>
        <w:snapToGrid w:val="0"/>
        <w:ind w:firstLine="560" w:firstLineChars="200"/>
        <w:jc w:val="left"/>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（1）参加单位必须提供营业执照（具有窗帘布艺制品营业等相关项目），具有履行合同所必需的工具和能力。</w:t>
      </w:r>
    </w:p>
    <w:p w14:paraId="55364F13">
      <w:pPr>
        <w:widowControl/>
        <w:tabs>
          <w:tab w:val="left" w:pos="312"/>
        </w:tabs>
        <w:adjustRightInd w:val="0"/>
        <w:snapToGrid w:val="0"/>
        <w:ind w:firstLine="560" w:firstLineChars="200"/>
        <w:jc w:val="left"/>
        <w:rPr>
          <w:rFonts w:ascii="仿宋" w:hAnsi="仿宋" w:eastAsia="仿宋"/>
          <w:sz w:val="28"/>
          <w:szCs w:val="28"/>
        </w:rPr>
      </w:pPr>
      <w:r>
        <w:rPr>
          <w:rFonts w:hint="eastAsia" w:ascii="仿宋" w:hAnsi="仿宋" w:eastAsia="仿宋"/>
          <w:color w:val="000000" w:themeColor="text1"/>
          <w:sz w:val="28"/>
          <w:szCs w:val="28"/>
          <w14:textFill>
            <w14:solidFill>
              <w14:schemeClr w14:val="tx1"/>
            </w14:solidFill>
          </w14:textFill>
        </w:rPr>
        <w:t>（2）本项目不接受联合体投标，不得转包、分包。</w:t>
      </w:r>
    </w:p>
    <w:p w14:paraId="03B3074C">
      <w:pPr>
        <w:widowControl/>
        <w:spacing w:line="440" w:lineRule="exact"/>
        <w:ind w:firstLine="560" w:firstLineChars="200"/>
        <w:textAlignment w:val="center"/>
        <w:rPr>
          <w:rFonts w:ascii="仿宋" w:hAnsi="仿宋" w:eastAsia="仿宋"/>
          <w:sz w:val="28"/>
          <w:szCs w:val="28"/>
        </w:rPr>
      </w:pPr>
      <w:r>
        <w:rPr>
          <w:rFonts w:hint="eastAsia" w:ascii="仿宋" w:hAnsi="仿宋" w:eastAsia="仿宋"/>
          <w:sz w:val="28"/>
          <w:szCs w:val="28"/>
        </w:rPr>
        <w:t>1.5付款方式：</w:t>
      </w:r>
    </w:p>
    <w:p w14:paraId="6527C5F2">
      <w:pPr>
        <w:snapToGrid w:val="0"/>
        <w:ind w:firstLine="560" w:firstLineChars="200"/>
        <w:jc w:val="left"/>
        <w:rPr>
          <w:rFonts w:ascii="仿宋" w:hAnsi="仿宋" w:eastAsia="仿宋"/>
          <w:kern w:val="0"/>
          <w:sz w:val="32"/>
          <w:szCs w:val="32"/>
        </w:rPr>
      </w:pPr>
      <w:r>
        <w:rPr>
          <w:rFonts w:hint="eastAsia" w:ascii="仿宋" w:hAnsi="仿宋" w:eastAsia="仿宋"/>
          <w:sz w:val="28"/>
          <w:szCs w:val="28"/>
        </w:rPr>
        <w:t>（1）结算方式：</w:t>
      </w:r>
      <w:r>
        <w:rPr>
          <w:rFonts w:hint="eastAsia" w:ascii="仿宋" w:hAnsi="仿宋" w:eastAsia="仿宋"/>
          <w:kern w:val="0"/>
          <w:sz w:val="28"/>
          <w:szCs w:val="28"/>
        </w:rPr>
        <w:t>总务处审核后每月按实结算，3个月付款</w:t>
      </w:r>
      <w:r>
        <w:rPr>
          <w:rFonts w:hint="eastAsia" w:ascii="仿宋" w:hAnsi="仿宋" w:eastAsia="仿宋"/>
          <w:kern w:val="0"/>
          <w:sz w:val="32"/>
          <w:szCs w:val="32"/>
        </w:rPr>
        <w:t>。</w:t>
      </w:r>
    </w:p>
    <w:p w14:paraId="4FF7863E">
      <w:pPr>
        <w:adjustRightInd w:val="0"/>
        <w:spacing w:line="440" w:lineRule="exact"/>
        <w:ind w:firstLine="560" w:firstLineChars="200"/>
        <w:rPr>
          <w:rFonts w:ascii="仿宋" w:hAnsi="仿宋" w:eastAsia="仿宋"/>
          <w:sz w:val="28"/>
          <w:szCs w:val="28"/>
        </w:rPr>
      </w:pPr>
      <w:r>
        <w:rPr>
          <w:rFonts w:hint="eastAsia" w:ascii="仿宋" w:hAnsi="仿宋" w:eastAsia="仿宋"/>
          <w:sz w:val="28"/>
          <w:szCs w:val="28"/>
        </w:rPr>
        <w:t>（2）项目有效期：1年</w:t>
      </w:r>
    </w:p>
    <w:p w14:paraId="1DA0AA04">
      <w:pPr>
        <w:adjustRightInd w:val="0"/>
        <w:spacing w:line="440" w:lineRule="exact"/>
        <w:ind w:firstLine="551" w:firstLineChars="196"/>
        <w:rPr>
          <w:rFonts w:ascii="仿宋" w:hAnsi="仿宋" w:eastAsia="仿宋" w:cs="宋体"/>
          <w:b/>
          <w:kern w:val="0"/>
          <w:sz w:val="28"/>
          <w:szCs w:val="28"/>
        </w:rPr>
      </w:pPr>
      <w:r>
        <w:rPr>
          <w:rFonts w:hint="eastAsia" w:ascii="仿宋" w:hAnsi="仿宋" w:eastAsia="仿宋" w:cs="宋体"/>
          <w:b/>
          <w:kern w:val="0"/>
          <w:sz w:val="28"/>
          <w:szCs w:val="28"/>
        </w:rPr>
        <w:t>2.比价方案：</w:t>
      </w:r>
    </w:p>
    <w:p w14:paraId="67358C33">
      <w:pPr>
        <w:adjustRightInd w:val="0"/>
        <w:spacing w:line="440" w:lineRule="exact"/>
        <w:ind w:firstLine="560" w:firstLineChars="200"/>
        <w:jc w:val="left"/>
        <w:rPr>
          <w:rFonts w:ascii="仿宋" w:hAnsi="仿宋" w:eastAsia="仿宋"/>
          <w:sz w:val="28"/>
          <w:szCs w:val="28"/>
        </w:rPr>
      </w:pPr>
      <w:r>
        <w:rPr>
          <w:rFonts w:hint="eastAsia" w:ascii="仿宋" w:hAnsi="仿宋" w:eastAsia="仿宋"/>
          <w:sz w:val="28"/>
          <w:szCs w:val="28"/>
        </w:rPr>
        <w:t>2.1本次采用资格后审方式，现场</w:t>
      </w:r>
      <w:r>
        <w:rPr>
          <w:rFonts w:ascii="仿宋" w:hAnsi="仿宋" w:eastAsia="仿宋"/>
          <w:sz w:val="28"/>
          <w:szCs w:val="28"/>
        </w:rPr>
        <w:t>公开各单位报价方式。</w:t>
      </w:r>
    </w:p>
    <w:p w14:paraId="2E644E98">
      <w:pPr>
        <w:adjustRightInd w:val="0"/>
        <w:spacing w:line="440" w:lineRule="exact"/>
        <w:ind w:firstLine="560" w:firstLineChars="200"/>
        <w:jc w:val="left"/>
        <w:rPr>
          <w:rFonts w:ascii="仿宋" w:hAnsi="仿宋" w:eastAsia="仿宋"/>
          <w:color w:val="FF0000"/>
          <w:sz w:val="28"/>
          <w:szCs w:val="28"/>
        </w:rPr>
      </w:pPr>
      <w:r>
        <w:rPr>
          <w:rFonts w:hint="eastAsia" w:ascii="仿宋" w:hAnsi="仿宋" w:eastAsia="仿宋"/>
          <w:sz w:val="28"/>
          <w:szCs w:val="28"/>
        </w:rPr>
        <w:t>2.2</w:t>
      </w:r>
      <w:r>
        <w:rPr>
          <w:rFonts w:ascii="仿宋" w:hAnsi="仿宋" w:eastAsia="仿宋"/>
          <w:sz w:val="28"/>
          <w:szCs w:val="28"/>
        </w:rPr>
        <w:t>各报价单位须提前准备好</w:t>
      </w:r>
      <w:r>
        <w:rPr>
          <w:rFonts w:hint="eastAsia" w:ascii="仿宋" w:hAnsi="仿宋" w:eastAsia="仿宋"/>
          <w:sz w:val="28"/>
          <w:szCs w:val="28"/>
        </w:rPr>
        <w:t>本单位</w:t>
      </w:r>
      <w:r>
        <w:rPr>
          <w:rFonts w:ascii="仿宋" w:hAnsi="仿宋" w:eastAsia="仿宋"/>
          <w:sz w:val="28"/>
          <w:szCs w:val="28"/>
        </w:rPr>
        <w:t>营业执照</w:t>
      </w:r>
      <w:r>
        <w:rPr>
          <w:rFonts w:hint="eastAsia" w:ascii="仿宋" w:hAnsi="仿宋" w:eastAsia="仿宋"/>
          <w:sz w:val="28"/>
          <w:szCs w:val="28"/>
        </w:rPr>
        <w:t>（复印件加盖公司公章）</w:t>
      </w:r>
      <w:r>
        <w:rPr>
          <w:rFonts w:ascii="仿宋" w:hAnsi="仿宋" w:eastAsia="仿宋"/>
          <w:sz w:val="28"/>
          <w:szCs w:val="28"/>
        </w:rPr>
        <w:t>、纸质报价</w:t>
      </w:r>
      <w:r>
        <w:rPr>
          <w:rFonts w:hint="eastAsia" w:ascii="仿宋" w:hAnsi="仿宋" w:eastAsia="仿宋"/>
          <w:sz w:val="28"/>
          <w:szCs w:val="28"/>
        </w:rPr>
        <w:t>单</w:t>
      </w:r>
      <w:r>
        <w:rPr>
          <w:rFonts w:ascii="仿宋" w:hAnsi="仿宋" w:eastAsia="仿宋"/>
          <w:sz w:val="28"/>
          <w:szCs w:val="28"/>
        </w:rPr>
        <w:t>（</w:t>
      </w:r>
      <w:r>
        <w:rPr>
          <w:rFonts w:hint="eastAsia" w:ascii="仿宋" w:hAnsi="仿宋" w:eastAsia="仿宋"/>
          <w:sz w:val="28"/>
          <w:szCs w:val="28"/>
        </w:rPr>
        <w:t>下载、填写并打印项目报价单，须加盖公司公章</w:t>
      </w:r>
      <w:r>
        <w:rPr>
          <w:rFonts w:ascii="仿宋" w:hAnsi="仿宋" w:eastAsia="仿宋"/>
          <w:sz w:val="28"/>
          <w:szCs w:val="28"/>
        </w:rPr>
        <w:t>）、承诺</w:t>
      </w:r>
      <w:r>
        <w:rPr>
          <w:rFonts w:hint="eastAsia" w:ascii="仿宋" w:hAnsi="仿宋" w:eastAsia="仿宋"/>
          <w:sz w:val="28"/>
          <w:szCs w:val="28"/>
        </w:rPr>
        <w:t>函</w:t>
      </w:r>
      <w:r>
        <w:rPr>
          <w:rFonts w:ascii="仿宋" w:hAnsi="仿宋" w:eastAsia="仿宋"/>
          <w:sz w:val="28"/>
          <w:szCs w:val="28"/>
        </w:rPr>
        <w:t>（</w:t>
      </w:r>
      <w:r>
        <w:rPr>
          <w:rFonts w:hint="eastAsia" w:ascii="仿宋" w:hAnsi="仿宋" w:eastAsia="仿宋"/>
          <w:sz w:val="28"/>
          <w:szCs w:val="28"/>
        </w:rPr>
        <w:t>下载、填写并打印采购项目承诺函，填写公司全称并加盖公司公章</w:t>
      </w:r>
      <w:r>
        <w:rPr>
          <w:rFonts w:ascii="仿宋" w:hAnsi="仿宋" w:eastAsia="仿宋"/>
          <w:sz w:val="28"/>
          <w:szCs w:val="28"/>
        </w:rPr>
        <w:t>），如投标人</w:t>
      </w:r>
      <w:r>
        <w:rPr>
          <w:rFonts w:hint="eastAsia" w:ascii="仿宋" w:hAnsi="仿宋" w:eastAsia="仿宋"/>
          <w:sz w:val="28"/>
          <w:szCs w:val="28"/>
        </w:rPr>
        <w:t>不是</w:t>
      </w:r>
      <w:r>
        <w:rPr>
          <w:rFonts w:ascii="仿宋" w:hAnsi="仿宋" w:eastAsia="仿宋"/>
          <w:sz w:val="28"/>
          <w:szCs w:val="28"/>
        </w:rPr>
        <w:t>公司法人需提供授权委托书和投标代理人身份证</w:t>
      </w:r>
      <w:r>
        <w:rPr>
          <w:rFonts w:hint="eastAsia" w:ascii="仿宋" w:hAnsi="仿宋" w:eastAsia="仿宋"/>
          <w:sz w:val="28"/>
          <w:szCs w:val="28"/>
        </w:rPr>
        <w:t>正反面</w:t>
      </w:r>
      <w:r>
        <w:rPr>
          <w:rFonts w:ascii="仿宋" w:hAnsi="仿宋" w:eastAsia="仿宋"/>
          <w:sz w:val="28"/>
          <w:szCs w:val="28"/>
        </w:rPr>
        <w:t>复印件（</w:t>
      </w:r>
      <w:r>
        <w:rPr>
          <w:rFonts w:hint="eastAsia" w:ascii="仿宋" w:hAnsi="仿宋" w:eastAsia="仿宋"/>
          <w:sz w:val="28"/>
          <w:szCs w:val="28"/>
        </w:rPr>
        <w:t>下载、填写并打印附件三，</w:t>
      </w:r>
      <w:r>
        <w:rPr>
          <w:rFonts w:ascii="仿宋" w:hAnsi="仿宋" w:eastAsia="仿宋"/>
          <w:sz w:val="28"/>
          <w:szCs w:val="28"/>
        </w:rPr>
        <w:t>授权委托书和身份证复印件均需加盖</w:t>
      </w:r>
      <w:r>
        <w:rPr>
          <w:rFonts w:hint="eastAsia" w:ascii="仿宋" w:hAnsi="仿宋" w:eastAsia="仿宋"/>
          <w:sz w:val="28"/>
          <w:szCs w:val="28"/>
        </w:rPr>
        <w:t>公司</w:t>
      </w:r>
      <w:r>
        <w:rPr>
          <w:rFonts w:ascii="仿宋" w:hAnsi="仿宋" w:eastAsia="仿宋"/>
          <w:sz w:val="28"/>
          <w:szCs w:val="28"/>
        </w:rPr>
        <w:t>公章），</w:t>
      </w:r>
      <w:r>
        <w:rPr>
          <w:rFonts w:hint="eastAsia" w:ascii="仿宋" w:hAnsi="仿宋" w:eastAsia="仿宋"/>
          <w:sz w:val="28"/>
          <w:szCs w:val="28"/>
        </w:rPr>
        <w:t>如投标人是公司法人需提供法人身份证正反面复印件（加盖公司公章），所有材料</w:t>
      </w:r>
      <w:r>
        <w:rPr>
          <w:rFonts w:ascii="仿宋" w:hAnsi="仿宋" w:eastAsia="仿宋"/>
          <w:sz w:val="28"/>
          <w:szCs w:val="28"/>
        </w:rPr>
        <w:t>用文件袋密封包装</w:t>
      </w:r>
      <w:r>
        <w:rPr>
          <w:rFonts w:hint="eastAsia" w:ascii="仿宋" w:hAnsi="仿宋" w:eastAsia="仿宋"/>
          <w:sz w:val="28"/>
          <w:szCs w:val="28"/>
        </w:rPr>
        <w:t>在报价截止时间前送至</w:t>
      </w:r>
      <w:r>
        <w:rPr>
          <w:rFonts w:ascii="仿宋" w:hAnsi="仿宋" w:eastAsia="仿宋"/>
          <w:sz w:val="28"/>
          <w:szCs w:val="28"/>
        </w:rPr>
        <w:t>指定地点</w:t>
      </w:r>
      <w:r>
        <w:rPr>
          <w:rFonts w:hint="eastAsia" w:ascii="仿宋" w:hAnsi="仿宋" w:eastAsia="仿宋"/>
          <w:sz w:val="28"/>
          <w:szCs w:val="28"/>
        </w:rPr>
        <w:t>。</w:t>
      </w:r>
      <w:r>
        <w:rPr>
          <w:rFonts w:hint="eastAsia" w:ascii="仿宋" w:hAnsi="仿宋" w:eastAsia="仿宋"/>
          <w:color w:val="FF0000"/>
          <w:sz w:val="28"/>
          <w:szCs w:val="28"/>
          <w:u w:val="single"/>
        </w:rPr>
        <w:t>上述内容缺一不可，如若文件袋未密封或上述要求材料未按要求提供或材料未在指定时间截止前提交，则均视为无效报价。</w:t>
      </w:r>
    </w:p>
    <w:p w14:paraId="772AC12A">
      <w:pPr>
        <w:adjustRightInd w:val="0"/>
        <w:spacing w:line="440" w:lineRule="exact"/>
        <w:ind w:firstLine="560" w:firstLineChars="200"/>
        <w:jc w:val="left"/>
        <w:rPr>
          <w:rFonts w:ascii="仿宋" w:hAnsi="仿宋" w:eastAsia="仿宋"/>
          <w:sz w:val="28"/>
          <w:szCs w:val="28"/>
        </w:rPr>
      </w:pPr>
      <w:r>
        <w:rPr>
          <w:rFonts w:hint="eastAsia" w:ascii="仿宋" w:hAnsi="仿宋" w:eastAsia="仿宋"/>
          <w:sz w:val="28"/>
          <w:szCs w:val="28"/>
        </w:rPr>
        <w:t>各供应商所提交的所有文件，均将作为本项目的材料由我院总务处归档保存，不予退还。</w:t>
      </w:r>
    </w:p>
    <w:p w14:paraId="0858BBF2">
      <w:pPr>
        <w:pStyle w:val="7"/>
        <w:shd w:val="clear" w:color="auto" w:fill="FFFFFF"/>
        <w:adjustRightInd w:val="0"/>
        <w:spacing w:before="0" w:beforeAutospacing="0" w:after="0" w:afterAutospacing="0" w:line="440" w:lineRule="exact"/>
        <w:ind w:left="0" w:firstLine="560" w:firstLineChars="200"/>
        <w:jc w:val="both"/>
        <w:rPr>
          <w:rFonts w:ascii="仿宋" w:hAnsi="仿宋" w:eastAsia="仿宋" w:cs="Times New Roman"/>
          <w:kern w:val="2"/>
          <w:sz w:val="28"/>
          <w:szCs w:val="28"/>
        </w:rPr>
      </w:pPr>
      <w:r>
        <w:rPr>
          <w:rFonts w:hint="eastAsia" w:ascii="仿宋" w:hAnsi="仿宋" w:eastAsia="仿宋" w:cs="Times New Roman"/>
          <w:kern w:val="2"/>
          <w:sz w:val="28"/>
          <w:szCs w:val="28"/>
        </w:rPr>
        <w:t>2.3</w:t>
      </w:r>
      <w:r>
        <w:rPr>
          <w:rFonts w:hint="eastAsia" w:ascii="仿宋" w:hAnsi="仿宋" w:eastAsia="仿宋" w:cs="Times New Roman"/>
          <w:kern w:val="2"/>
          <w:sz w:val="28"/>
          <w:szCs w:val="28"/>
          <w:u w:val="single"/>
        </w:rPr>
        <w:t>满足比价文件实质性要求的单位数量达2家及以上时，公开比价采购，不设二次报价，所提交的报价单即为最终报价。</w:t>
      </w:r>
    </w:p>
    <w:p w14:paraId="40401BEC">
      <w:pPr>
        <w:adjustRightInd w:val="0"/>
        <w:spacing w:line="440" w:lineRule="exact"/>
        <w:ind w:firstLine="560" w:firstLineChars="200"/>
        <w:jc w:val="left"/>
        <w:rPr>
          <w:rFonts w:ascii="仿宋" w:hAnsi="仿宋" w:eastAsia="仿宋"/>
          <w:sz w:val="28"/>
          <w:szCs w:val="28"/>
        </w:rPr>
      </w:pPr>
      <w:r>
        <w:rPr>
          <w:rFonts w:hint="eastAsia" w:ascii="仿宋" w:hAnsi="仿宋" w:eastAsia="仿宋"/>
          <w:sz w:val="28"/>
          <w:szCs w:val="28"/>
        </w:rPr>
        <w:t>2.4满足比价文件实质性要求的单位数量仅有1家时，则现场进行谈价。</w:t>
      </w:r>
    </w:p>
    <w:p w14:paraId="2409254D">
      <w:pPr>
        <w:adjustRightInd w:val="0"/>
        <w:spacing w:line="440" w:lineRule="exact"/>
        <w:ind w:firstLine="560" w:firstLineChars="200"/>
        <w:jc w:val="left"/>
        <w:rPr>
          <w:rFonts w:ascii="仿宋" w:hAnsi="仿宋" w:eastAsia="仿宋"/>
          <w:color w:val="FF0000"/>
          <w:sz w:val="28"/>
          <w:szCs w:val="28"/>
        </w:rPr>
      </w:pPr>
      <w:r>
        <w:rPr>
          <w:rFonts w:hint="eastAsia" w:ascii="仿宋" w:hAnsi="仿宋" w:eastAsia="仿宋"/>
          <w:color w:val="FF0000"/>
          <w:sz w:val="28"/>
          <w:szCs w:val="28"/>
        </w:rPr>
        <w:t>2.5本项目由综合总价最低的供应商中标。</w:t>
      </w:r>
    </w:p>
    <w:p w14:paraId="713059E2">
      <w:pPr>
        <w:adjustRightInd w:val="0"/>
        <w:spacing w:line="440" w:lineRule="exact"/>
        <w:ind w:firstLine="560" w:firstLineChars="200"/>
        <w:jc w:val="left"/>
        <w:rPr>
          <w:rFonts w:ascii="仿宋" w:hAnsi="仿宋" w:eastAsia="仿宋"/>
          <w:sz w:val="28"/>
          <w:szCs w:val="28"/>
        </w:rPr>
      </w:pPr>
      <w:r>
        <w:rPr>
          <w:rFonts w:hint="eastAsia" w:ascii="仿宋" w:hAnsi="仿宋" w:eastAsia="仿宋"/>
          <w:sz w:val="28"/>
          <w:szCs w:val="28"/>
        </w:rPr>
        <w:t>2.6中标服务商在服务期间不能满足院方需求达到两次的（以院方发出的整改通知书为准），院方有权单方面解除中标服务商的资格，由排名第二的供应商供货，以此类推。</w:t>
      </w:r>
    </w:p>
    <w:p w14:paraId="1398ABD4">
      <w:pPr>
        <w:rPr>
          <w:rFonts w:hint="eastAsia" w:cs="微软雅黑" w:asciiTheme="minorEastAsia" w:hAnsiTheme="minorEastAsia" w:eastAsiaTheme="minorEastAsia"/>
          <w:sz w:val="30"/>
          <w:szCs w:val="30"/>
        </w:rPr>
      </w:pPr>
    </w:p>
    <w:p w14:paraId="46D9B378">
      <w:pPr>
        <w:pStyle w:val="2"/>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方正小标宋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B19"/>
    <w:rsid w:val="00042912"/>
    <w:rsid w:val="00046525"/>
    <w:rsid w:val="0005510D"/>
    <w:rsid w:val="00071761"/>
    <w:rsid w:val="00090336"/>
    <w:rsid w:val="000C4338"/>
    <w:rsid w:val="00141DDB"/>
    <w:rsid w:val="00197232"/>
    <w:rsid w:val="001A46D0"/>
    <w:rsid w:val="00214B9A"/>
    <w:rsid w:val="0021777E"/>
    <w:rsid w:val="002255F5"/>
    <w:rsid w:val="002316AD"/>
    <w:rsid w:val="002545E4"/>
    <w:rsid w:val="00257567"/>
    <w:rsid w:val="002601DB"/>
    <w:rsid w:val="002640A3"/>
    <w:rsid w:val="002705BF"/>
    <w:rsid w:val="002C494A"/>
    <w:rsid w:val="00315D48"/>
    <w:rsid w:val="00337A67"/>
    <w:rsid w:val="003935A5"/>
    <w:rsid w:val="003A40C1"/>
    <w:rsid w:val="003C43BB"/>
    <w:rsid w:val="003C446B"/>
    <w:rsid w:val="003E46CF"/>
    <w:rsid w:val="00404B19"/>
    <w:rsid w:val="00411870"/>
    <w:rsid w:val="004475D2"/>
    <w:rsid w:val="00467CDF"/>
    <w:rsid w:val="004D16AD"/>
    <w:rsid w:val="00520D9D"/>
    <w:rsid w:val="0053481C"/>
    <w:rsid w:val="0053499C"/>
    <w:rsid w:val="00551BE8"/>
    <w:rsid w:val="0057021F"/>
    <w:rsid w:val="00575FAA"/>
    <w:rsid w:val="005816B9"/>
    <w:rsid w:val="005C66BA"/>
    <w:rsid w:val="005D7E06"/>
    <w:rsid w:val="006106F9"/>
    <w:rsid w:val="00633AEB"/>
    <w:rsid w:val="006701E5"/>
    <w:rsid w:val="0067415F"/>
    <w:rsid w:val="006E02FF"/>
    <w:rsid w:val="00702BC2"/>
    <w:rsid w:val="007A7B9B"/>
    <w:rsid w:val="007C056B"/>
    <w:rsid w:val="007E22ED"/>
    <w:rsid w:val="00865C75"/>
    <w:rsid w:val="00892663"/>
    <w:rsid w:val="00897610"/>
    <w:rsid w:val="008B2AAE"/>
    <w:rsid w:val="008D3F40"/>
    <w:rsid w:val="008D75F2"/>
    <w:rsid w:val="008E109B"/>
    <w:rsid w:val="00945072"/>
    <w:rsid w:val="00962B2D"/>
    <w:rsid w:val="00982048"/>
    <w:rsid w:val="00A6033C"/>
    <w:rsid w:val="00AC18AC"/>
    <w:rsid w:val="00B50EE5"/>
    <w:rsid w:val="00B8469C"/>
    <w:rsid w:val="00C231D9"/>
    <w:rsid w:val="00C3526B"/>
    <w:rsid w:val="00C5790A"/>
    <w:rsid w:val="00C81120"/>
    <w:rsid w:val="00CB1E6C"/>
    <w:rsid w:val="00CD4EC2"/>
    <w:rsid w:val="00D35484"/>
    <w:rsid w:val="00D6199B"/>
    <w:rsid w:val="00D620D1"/>
    <w:rsid w:val="00D6749F"/>
    <w:rsid w:val="00D82ECB"/>
    <w:rsid w:val="00DA523F"/>
    <w:rsid w:val="00DA65D6"/>
    <w:rsid w:val="00DB5694"/>
    <w:rsid w:val="00DB586A"/>
    <w:rsid w:val="00DB6CD0"/>
    <w:rsid w:val="00DD1203"/>
    <w:rsid w:val="00DF4D68"/>
    <w:rsid w:val="00E053FF"/>
    <w:rsid w:val="00E32CA0"/>
    <w:rsid w:val="00E7001B"/>
    <w:rsid w:val="00EF0932"/>
    <w:rsid w:val="00EF58DC"/>
    <w:rsid w:val="00F04EC3"/>
    <w:rsid w:val="00F5386C"/>
    <w:rsid w:val="150B4AD3"/>
    <w:rsid w:val="17E61778"/>
    <w:rsid w:val="1A497CA6"/>
    <w:rsid w:val="2A7A43AF"/>
    <w:rsid w:val="3491064E"/>
    <w:rsid w:val="372A7264"/>
    <w:rsid w:val="3E4E644A"/>
    <w:rsid w:val="4F145EBB"/>
    <w:rsid w:val="70B0102E"/>
    <w:rsid w:val="75AC48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iPriority="99" w:semiHidden="0"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260" w:after="260" w:line="416" w:lineRule="auto"/>
      <w:jc w:val="center"/>
      <w:outlineLvl w:val="2"/>
    </w:pPr>
    <w:rPr>
      <w:rFonts w:ascii="Calibri" w:hAnsi="Calibri"/>
      <w:bCs/>
      <w:kern w:val="0"/>
      <w:sz w:val="28"/>
      <w:szCs w:val="32"/>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4">
    <w:name w:val="index 4"/>
    <w:basedOn w:val="1"/>
    <w:next w:val="1"/>
    <w:unhideWhenUsed/>
    <w:qFormat/>
    <w:uiPriority w:val="99"/>
    <w:pPr>
      <w:ind w:left="600" w:leftChars="600"/>
    </w:pPr>
    <w:rPr>
      <w:rFonts w:ascii="Verdana" w:hAnsi="Verdana"/>
      <w:szCs w:val="20"/>
    </w:rPr>
  </w:style>
  <w:style w:type="paragraph" w:styleId="5">
    <w:name w:val="footer"/>
    <w:basedOn w:val="1"/>
    <w:link w:val="12"/>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widowControl/>
      <w:spacing w:before="100" w:beforeAutospacing="1" w:after="100" w:afterAutospacing="1"/>
      <w:ind w:left="601" w:hanging="601"/>
      <w:jc w:val="left"/>
    </w:pPr>
    <w:rPr>
      <w:rFonts w:ascii="宋体" w:hAnsi="宋体" w:cs="宋体"/>
      <w:kern w:val="0"/>
      <w:sz w:val="24"/>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1">
    <w:name w:val="页眉 Char"/>
    <w:basedOn w:val="10"/>
    <w:link w:val="6"/>
    <w:semiHidden/>
    <w:qFormat/>
    <w:uiPriority w:val="99"/>
    <w:rPr>
      <w:sz w:val="18"/>
      <w:szCs w:val="18"/>
    </w:rPr>
  </w:style>
  <w:style w:type="character" w:customStyle="1" w:styleId="12">
    <w:name w:val="页脚 Char"/>
    <w:basedOn w:val="10"/>
    <w:link w:val="5"/>
    <w:semiHidden/>
    <w:qFormat/>
    <w:uiPriority w:val="99"/>
    <w:rPr>
      <w:sz w:val="18"/>
      <w:szCs w:val="18"/>
    </w:rPr>
  </w:style>
  <w:style w:type="character" w:customStyle="1" w:styleId="13">
    <w:name w:val="font11"/>
    <w:basedOn w:val="10"/>
    <w:qFormat/>
    <w:uiPriority w:val="0"/>
    <w:rPr>
      <w:rFonts w:hint="eastAsia" w:ascii="宋体" w:hAnsi="宋体" w:eastAsia="宋体" w:cs="宋体"/>
      <w:b/>
      <w:bCs/>
      <w:color w:val="000000"/>
      <w:sz w:val="36"/>
      <w:szCs w:val="3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1241</Words>
  <Characters>1331</Characters>
  <Lines>11</Lines>
  <Paragraphs>3</Paragraphs>
  <TotalTime>3</TotalTime>
  <ScaleCrop>false</ScaleCrop>
  <LinksUpToDate>false</LinksUpToDate>
  <CharactersWithSpaces>1336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2026-05-22T00:56:00Z</dcterms:created>
  <dc:creator>2</dc:creator>
  <cp:lastModifiedBy>JOHNNY</cp:lastModifiedBy>
  <cp:lastPrinted>2026-09-04T05:09:26Z</cp:lastPrinted>
  <dcterms:modified xsi:type="dcterms:W3CDTF">2026-09-04T09:04:06Z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eyJoZGlkIjoiMDVkOGYxMzNkOTMyZTAwODhiZWRkNjg2NGM5ZTA2MmQiLCJ1c2VySWQiOiI5ODE2OTk1OTEifQ==</vt:lpwstr>
  </property>
  <property fmtid="{D5CDD505-2E9C-101B-9397-08002B2CF9AE}" pid="3" name="KSOProductBuildVer">
    <vt:lpwstr>2052-12.1.0.28043</vt:lpwstr>
  </property>
  <property fmtid="{D5CDD505-2E9C-101B-9397-08002B2CF9AE}" pid="4" name="ICV">
    <vt:lpwstr>AD9ABC6C34614189A6A947399A0F9045_13</vt:lpwstr>
  </property>
</Properties>
</file>