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103F2">
      <w:pPr>
        <w:spacing w:line="360" w:lineRule="auto"/>
        <w:jc w:val="center"/>
        <w:rPr>
          <w:sz w:val="44"/>
          <w:szCs w:val="44"/>
        </w:rPr>
      </w:pPr>
    </w:p>
    <w:p w14:paraId="66D28459">
      <w:pPr>
        <w:spacing w:line="360" w:lineRule="auto"/>
        <w:jc w:val="center"/>
        <w:rPr>
          <w:sz w:val="44"/>
          <w:szCs w:val="44"/>
        </w:rPr>
      </w:pPr>
    </w:p>
    <w:p w14:paraId="78FDB44F">
      <w:pPr>
        <w:spacing w:line="360" w:lineRule="auto"/>
        <w:jc w:val="center"/>
        <w:rPr>
          <w:sz w:val="44"/>
          <w:szCs w:val="44"/>
        </w:rPr>
      </w:pPr>
    </w:p>
    <w:p w14:paraId="7A28C0B6">
      <w:pPr>
        <w:spacing w:line="360" w:lineRule="auto"/>
        <w:jc w:val="center"/>
        <w:rPr>
          <w:sz w:val="44"/>
          <w:szCs w:val="44"/>
        </w:rPr>
      </w:pPr>
    </w:p>
    <w:p w14:paraId="36CC1A95">
      <w:pPr>
        <w:spacing w:line="360" w:lineRule="auto"/>
        <w:rPr>
          <w:sz w:val="44"/>
          <w:szCs w:val="44"/>
        </w:rPr>
      </w:pPr>
    </w:p>
    <w:p w14:paraId="6F4F9BF9">
      <w:pPr>
        <w:spacing w:line="360" w:lineRule="auto"/>
        <w:jc w:val="center"/>
        <w:rPr>
          <w:rFonts w:hint="eastAsia" w:eastAsia="方正小标宋简体"/>
          <w:sz w:val="52"/>
          <w:szCs w:val="52"/>
        </w:rPr>
      </w:pPr>
      <w:r>
        <w:rPr>
          <w:rFonts w:hint="eastAsia" w:eastAsia="方正小标宋简体"/>
          <w:sz w:val="52"/>
          <w:szCs w:val="52"/>
        </w:rPr>
        <w:t>医师技术档案管理系统</w:t>
      </w:r>
    </w:p>
    <w:p w14:paraId="3E69CCF9">
      <w:pPr>
        <w:spacing w:line="360" w:lineRule="auto"/>
        <w:jc w:val="center"/>
        <w:rPr>
          <w:rFonts w:eastAsia="方正小标宋简体"/>
          <w:sz w:val="52"/>
          <w:szCs w:val="52"/>
        </w:rPr>
      </w:pPr>
      <w:r>
        <w:rPr>
          <w:rFonts w:eastAsia="方正小标宋简体"/>
          <w:sz w:val="52"/>
          <w:szCs w:val="52"/>
        </w:rPr>
        <w:t>采购需求书</w:t>
      </w:r>
    </w:p>
    <w:p w14:paraId="245D8F68">
      <w:pPr>
        <w:numPr>
          <w:ilvl w:val="0"/>
          <w:numId w:val="2"/>
        </w:numPr>
        <w:spacing w:line="360" w:lineRule="auto"/>
        <w:rPr>
          <w:sz w:val="28"/>
          <w:szCs w:val="28"/>
        </w:rPr>
      </w:pPr>
      <w:r>
        <w:rPr>
          <w:sz w:val="52"/>
          <w:szCs w:val="52"/>
        </w:rPr>
        <w:br w:type="page"/>
      </w:r>
    </w:p>
    <w:p w14:paraId="0B7DEC9F">
      <w:pPr>
        <w:sectPr>
          <w:pgSz w:w="11906" w:h="16838"/>
          <w:pgMar w:top="1440" w:right="1800" w:bottom="1440" w:left="1800" w:header="851" w:footer="992" w:gutter="0"/>
          <w:cols w:space="720" w:num="1"/>
          <w:docGrid w:type="lines" w:linePitch="312" w:charSpace="0"/>
        </w:sectPr>
      </w:pPr>
    </w:p>
    <w:p w14:paraId="528AC476">
      <w:pPr>
        <w:pStyle w:val="2"/>
        <w:rPr>
          <w:rFonts w:eastAsia="黑体"/>
          <w:sz w:val="28"/>
          <w:szCs w:val="28"/>
        </w:rPr>
      </w:pPr>
      <w:r>
        <w:rPr>
          <w:rFonts w:eastAsia="黑体"/>
          <w:sz w:val="28"/>
          <w:szCs w:val="28"/>
        </w:rPr>
        <w:t>一、项目概况及总体要求</w:t>
      </w:r>
    </w:p>
    <w:p w14:paraId="79D5C12B">
      <w:pPr>
        <w:spacing w:line="360" w:lineRule="auto"/>
        <w:rPr>
          <w:rFonts w:eastAsia="楷体"/>
          <w:b/>
          <w:bCs/>
          <w:sz w:val="28"/>
          <w:szCs w:val="28"/>
        </w:rPr>
      </w:pPr>
      <w:r>
        <w:rPr>
          <w:rFonts w:eastAsia="楷体"/>
          <w:b/>
          <w:bCs/>
          <w:sz w:val="28"/>
          <w:szCs w:val="28"/>
        </w:rPr>
        <w:t>1、项目名称</w:t>
      </w:r>
    </w:p>
    <w:p w14:paraId="6EC77DB8">
      <w:pPr>
        <w:spacing w:line="360" w:lineRule="auto"/>
        <w:ind w:firstLine="480" w:firstLineChars="200"/>
        <w:rPr>
          <w:rFonts w:eastAsia="FangSong"/>
          <w:sz w:val="24"/>
        </w:rPr>
      </w:pPr>
      <w:r>
        <w:rPr>
          <w:rFonts w:hint="eastAsia" w:eastAsia="FangSong"/>
          <w:sz w:val="24"/>
          <w:lang w:eastAsia="zh-CN"/>
        </w:rPr>
        <w:t>医师技术档案管理系统</w:t>
      </w:r>
      <w:r>
        <w:rPr>
          <w:rFonts w:eastAsia="FangSong"/>
          <w:sz w:val="24"/>
        </w:rPr>
        <w:t>。</w:t>
      </w:r>
    </w:p>
    <w:p w14:paraId="176D8A2E">
      <w:pPr>
        <w:spacing w:line="360" w:lineRule="auto"/>
        <w:rPr>
          <w:rFonts w:eastAsia="楷体"/>
          <w:b/>
          <w:bCs/>
          <w:sz w:val="28"/>
          <w:szCs w:val="28"/>
        </w:rPr>
      </w:pPr>
      <w:r>
        <w:rPr>
          <w:rFonts w:eastAsia="楷体"/>
          <w:b/>
          <w:bCs/>
          <w:sz w:val="28"/>
          <w:szCs w:val="28"/>
        </w:rPr>
        <w:t>2、采购背景</w:t>
      </w:r>
    </w:p>
    <w:p w14:paraId="3A2FF67D">
      <w:pPr>
        <w:spacing w:line="360" w:lineRule="auto"/>
        <w:ind w:firstLine="480" w:firstLineChars="200"/>
        <w:rPr>
          <w:rFonts w:hint="eastAsia" w:eastAsia="FangSong"/>
          <w:sz w:val="24"/>
          <w:lang w:eastAsia="zh-CN"/>
        </w:rPr>
      </w:pPr>
      <w:r>
        <w:rPr>
          <w:rFonts w:hint="eastAsia" w:eastAsia="FangSong"/>
          <w:sz w:val="24"/>
        </w:rPr>
        <w:t>最新版《江苏省三级综合医院评审标准实施细则》的中详细规定了医院对于手术分级管理和新技术新项目管理的要求。包括第三十八条：“建立手术分级管理制度。建立手术分级管理工作制度和手术分级管理目录。建立手术分级授权管理机制和手术医师技术档案。医院应当对手术医师能力进行定期评估，根据评估结果对手术权限进行动态调整。”，以及第三十九条：“建立新技术和新项目准入制度。建立本院医疗技术临床应用目录并定期更新。建立新技术和新项目审批流程，所有新技术和新项目必须通过本院伦理委员会和医疗技术临床应用管理委员会审核同意后开展临床应用。”</w:t>
      </w:r>
      <w:r>
        <w:rPr>
          <w:rFonts w:hint="eastAsia" w:eastAsia="FangSong"/>
          <w:sz w:val="24"/>
          <w:lang w:eastAsia="zh-CN"/>
        </w:rPr>
        <w:t>、</w:t>
      </w:r>
    </w:p>
    <w:p w14:paraId="01337929">
      <w:pPr>
        <w:spacing w:line="360" w:lineRule="auto"/>
        <w:ind w:firstLine="480" w:firstLineChars="200"/>
        <w:rPr>
          <w:rFonts w:hint="eastAsia" w:eastAsia="FangSong"/>
          <w:sz w:val="24"/>
          <w:lang w:eastAsia="zh-CN"/>
        </w:rPr>
      </w:pPr>
      <w:r>
        <w:rPr>
          <w:rFonts w:hint="eastAsia" w:eastAsia="FangSong"/>
          <w:sz w:val="24"/>
        </w:rPr>
        <w:t>医疗资质授权是一项涉及人员较广、标准较多、流程较为繁琐、信息较为冗杂的管理流程，我院对于手术分级及医疗技术准入的管理停留于纸面，需要大量的人力和物力资源投人，暂无成熟的信息系统，无法真正实现国家法律法规对技术管理及手术分级的内涵要求。需建立相关信息系统，满足常规管理需求。</w:t>
      </w:r>
    </w:p>
    <w:p w14:paraId="3FB77C49">
      <w:pPr>
        <w:spacing w:line="360" w:lineRule="auto"/>
        <w:rPr>
          <w:rFonts w:eastAsia="楷体"/>
          <w:b/>
          <w:bCs/>
          <w:sz w:val="28"/>
          <w:szCs w:val="28"/>
        </w:rPr>
      </w:pPr>
      <w:r>
        <w:rPr>
          <w:rFonts w:eastAsia="楷体"/>
          <w:b/>
          <w:bCs/>
          <w:sz w:val="28"/>
          <w:szCs w:val="28"/>
        </w:rPr>
        <w:t>3、项目目标</w:t>
      </w:r>
    </w:p>
    <w:p w14:paraId="620EA2DE">
      <w:pPr>
        <w:spacing w:line="360" w:lineRule="auto"/>
        <w:ind w:firstLine="420"/>
        <w:rPr>
          <w:rFonts w:hint="eastAsia" w:eastAsia="FangSong"/>
          <w:sz w:val="24"/>
        </w:rPr>
      </w:pPr>
      <w:r>
        <w:rPr>
          <w:rFonts w:hint="eastAsia" w:eastAsia="FangSong"/>
          <w:sz w:val="24"/>
        </w:rPr>
        <w:t>本项目建设的首要目标是全面满足《江苏省三级综合医院评审标准实施细则》关于手术分级管理和新技术新项目管理的法规要求，通过建立电子化的医师技术档案管理系统，实现手术医师能力评估、权限动态调整以及新技术准入的全流程闭环管理，彻底改变当前依赖纸质文档的落后管理模式，确保医院医疗技术管理体系合法合规、规范高效。</w:t>
      </w:r>
    </w:p>
    <w:p w14:paraId="385E742C">
      <w:pPr>
        <w:spacing w:line="360" w:lineRule="auto"/>
        <w:ind w:firstLine="420"/>
        <w:rPr>
          <w:rFonts w:hint="eastAsia" w:eastAsia="FangSong"/>
          <w:sz w:val="24"/>
        </w:rPr>
      </w:pPr>
      <w:r>
        <w:rPr>
          <w:rFonts w:hint="eastAsia" w:eastAsia="FangSong"/>
          <w:sz w:val="24"/>
        </w:rPr>
        <w:t>系统建设的核心目标是对接医院数据中心，整合人员基础信息和医疗业务数据，构建覆盖全院医师的资质权限线上申请、审批、考核及动态管理平台，有效解决越级手术、抗生素不合理使用、特殊药品滥用及新技术追踪困难等过程质量管理问题，大幅提升医务管理精细化水平和工作效率。</w:t>
      </w:r>
    </w:p>
    <w:p w14:paraId="31C29D92">
      <w:pPr>
        <w:spacing w:line="360" w:lineRule="auto"/>
        <w:ind w:firstLine="420"/>
        <w:rPr>
          <w:rFonts w:eastAsia="FangSong"/>
          <w:sz w:val="24"/>
        </w:rPr>
      </w:pPr>
      <w:r>
        <w:rPr>
          <w:rFonts w:hint="eastAsia" w:eastAsia="FangSong"/>
          <w:sz w:val="24"/>
        </w:rPr>
        <w:t>最终目标是打造一个集数据采集、流程管控、智能预警、统计分析于一体的综合性管理平台，为医院决策提供精准数据支撑，实现医师技术能力的科学评估和持续优化，推动医疗质量与安全管理水平全面提升，为医院高质量发展和三级综合医院评审奠定坚实基础。</w:t>
      </w:r>
    </w:p>
    <w:p w14:paraId="40B60E07">
      <w:pPr>
        <w:pStyle w:val="2"/>
        <w:rPr>
          <w:rFonts w:eastAsia="黑体"/>
          <w:sz w:val="28"/>
          <w:szCs w:val="28"/>
        </w:rPr>
      </w:pPr>
      <w:r>
        <w:rPr>
          <w:rFonts w:eastAsia="黑体"/>
          <w:sz w:val="28"/>
          <w:szCs w:val="28"/>
        </w:rPr>
        <w:t>二、采购用途</w:t>
      </w:r>
    </w:p>
    <w:p w14:paraId="07124068">
      <w:pPr>
        <w:spacing w:line="360" w:lineRule="auto"/>
        <w:rPr>
          <w:rFonts w:eastAsia="楷体"/>
          <w:b/>
          <w:bCs/>
          <w:sz w:val="28"/>
          <w:szCs w:val="28"/>
        </w:rPr>
      </w:pPr>
      <w:r>
        <w:rPr>
          <w:rFonts w:eastAsia="楷体"/>
          <w:b/>
          <w:bCs/>
          <w:sz w:val="28"/>
          <w:szCs w:val="28"/>
        </w:rPr>
        <w:t>1、采购用途</w:t>
      </w:r>
    </w:p>
    <w:p w14:paraId="71B49DFD">
      <w:pPr>
        <w:spacing w:line="360" w:lineRule="auto"/>
        <w:ind w:firstLine="480" w:firstLineChars="200"/>
        <w:rPr>
          <w:rFonts w:eastAsia="FangSong"/>
          <w:sz w:val="24"/>
        </w:rPr>
      </w:pPr>
      <w:r>
        <w:rPr>
          <w:rFonts w:eastAsia="FangSong"/>
          <w:sz w:val="24"/>
        </w:rPr>
        <w:sym w:font="Wingdings 2" w:char="00A3"/>
      </w:r>
      <w:r>
        <w:rPr>
          <w:rFonts w:eastAsia="FangSong"/>
          <w:sz w:val="24"/>
        </w:rPr>
        <w:t xml:space="preserve">科研  </w:t>
      </w:r>
      <w:r>
        <w:rPr>
          <w:rFonts w:eastAsia="FangSong"/>
          <w:sz w:val="24"/>
        </w:rPr>
        <w:sym w:font="Wingdings 2" w:char="00A3"/>
      </w:r>
      <w:r>
        <w:rPr>
          <w:rFonts w:eastAsia="FangSong"/>
          <w:sz w:val="24"/>
        </w:rPr>
        <w:t xml:space="preserve">教学  </w:t>
      </w:r>
      <w:r>
        <w:rPr>
          <w:rFonts w:eastAsia="FangSong"/>
          <w:sz w:val="24"/>
        </w:rPr>
        <w:sym w:font="Wingdings 2" w:char="0052"/>
      </w:r>
      <w:r>
        <w:rPr>
          <w:rFonts w:eastAsia="FangSong"/>
          <w:sz w:val="24"/>
        </w:rPr>
        <w:t xml:space="preserve">医疗  </w:t>
      </w:r>
      <w:r>
        <w:rPr>
          <w:rFonts w:eastAsia="FangSong"/>
          <w:sz w:val="24"/>
        </w:rPr>
        <w:sym w:font="Wingdings 2" w:char="00A3"/>
      </w:r>
      <w:r>
        <w:rPr>
          <w:rFonts w:eastAsia="FangSong"/>
          <w:sz w:val="24"/>
        </w:rPr>
        <w:t xml:space="preserve">管理  </w:t>
      </w:r>
      <w:r>
        <w:rPr>
          <w:rFonts w:eastAsia="FangSong"/>
          <w:sz w:val="24"/>
        </w:rPr>
        <w:sym w:font="Wingdings 2" w:char="00A3"/>
      </w:r>
      <w:r>
        <w:rPr>
          <w:rFonts w:eastAsia="FangSong"/>
          <w:sz w:val="24"/>
        </w:rPr>
        <w:t xml:space="preserve">后勤  </w:t>
      </w:r>
      <w:r>
        <w:rPr>
          <w:rFonts w:eastAsia="FangSong"/>
          <w:sz w:val="24"/>
        </w:rPr>
        <w:sym w:font="Wingdings 2" w:char="00A3"/>
      </w:r>
      <w:r>
        <w:rPr>
          <w:rFonts w:eastAsia="FangSong"/>
          <w:sz w:val="24"/>
        </w:rPr>
        <w:t xml:space="preserve">其他 </w:t>
      </w:r>
    </w:p>
    <w:p w14:paraId="73488505">
      <w:pPr>
        <w:spacing w:line="360" w:lineRule="auto"/>
        <w:rPr>
          <w:rFonts w:eastAsia="楷体"/>
          <w:b/>
          <w:bCs/>
          <w:sz w:val="28"/>
          <w:szCs w:val="28"/>
        </w:rPr>
      </w:pPr>
      <w:r>
        <w:rPr>
          <w:rFonts w:eastAsia="楷体"/>
          <w:b/>
          <w:bCs/>
          <w:sz w:val="28"/>
          <w:szCs w:val="28"/>
        </w:rPr>
        <w:t>2、用途说明</w:t>
      </w:r>
    </w:p>
    <w:p w14:paraId="621646E4">
      <w:pPr>
        <w:spacing w:line="360" w:lineRule="auto"/>
        <w:ind w:firstLine="480" w:firstLineChars="200"/>
        <w:rPr>
          <w:rFonts w:eastAsia="FangSong"/>
          <w:sz w:val="24"/>
        </w:rPr>
      </w:pPr>
      <w:r>
        <w:rPr>
          <w:rFonts w:hint="eastAsia" w:eastAsia="FangSong"/>
          <w:sz w:val="24"/>
        </w:rPr>
        <w:t>医师技术档案管理系统主要用于实现手术分级授权和新技术准入的电子化管理，满足医院评审标准要求，替代传统纸质流程，解决越级手术和医疗技术监管难题，提升医务管理效率。</w:t>
      </w:r>
    </w:p>
    <w:p w14:paraId="795BBCB4">
      <w:pPr>
        <w:pStyle w:val="2"/>
        <w:rPr>
          <w:rFonts w:eastAsia="黑体"/>
          <w:sz w:val="28"/>
          <w:szCs w:val="28"/>
        </w:rPr>
      </w:pPr>
      <w:r>
        <w:rPr>
          <w:rFonts w:eastAsia="黑体"/>
          <w:sz w:val="28"/>
          <w:szCs w:val="28"/>
        </w:rPr>
        <w:t>三、采购需求一览表（</w:t>
      </w:r>
      <w:r>
        <w:rPr>
          <w:rFonts w:hint="eastAsia" w:eastAsia="黑体"/>
          <w:sz w:val="28"/>
          <w:szCs w:val="28"/>
        </w:rPr>
        <w:t>货物</w:t>
      </w:r>
      <w:r>
        <w:rPr>
          <w:rFonts w:eastAsia="黑体"/>
          <w:sz w:val="28"/>
          <w:szCs w:val="28"/>
        </w:rPr>
        <w:t>类）</w:t>
      </w:r>
    </w:p>
    <w:tbl>
      <w:tblPr>
        <w:tblStyle w:val="10"/>
        <w:tblW w:w="8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600"/>
        <w:gridCol w:w="1134"/>
        <w:gridCol w:w="957"/>
        <w:gridCol w:w="854"/>
        <w:gridCol w:w="1090"/>
      </w:tblGrid>
      <w:tr w14:paraId="241A7023">
        <w:trPr>
          <w:trHeight w:val="68" w:hRule="atLeast"/>
        </w:trPr>
        <w:tc>
          <w:tcPr>
            <w:tcW w:w="840" w:type="dxa"/>
            <w:vAlign w:val="center"/>
          </w:tcPr>
          <w:p w14:paraId="77DC5B02">
            <w:pPr>
              <w:spacing w:line="360" w:lineRule="auto"/>
              <w:jc w:val="center"/>
              <w:rPr>
                <w:rFonts w:eastAsia="FangSong"/>
                <w:b/>
                <w:bCs/>
                <w:szCs w:val="21"/>
              </w:rPr>
            </w:pPr>
            <w:r>
              <w:rPr>
                <w:rFonts w:hint="eastAsia" w:eastAsia="FangSong"/>
                <w:b/>
                <w:bCs/>
                <w:szCs w:val="21"/>
              </w:rPr>
              <w:t>序号</w:t>
            </w:r>
          </w:p>
        </w:tc>
        <w:tc>
          <w:tcPr>
            <w:tcW w:w="3600" w:type="dxa"/>
            <w:vAlign w:val="center"/>
          </w:tcPr>
          <w:p w14:paraId="1A73B174">
            <w:pPr>
              <w:widowControl/>
              <w:spacing w:line="360" w:lineRule="auto"/>
              <w:jc w:val="center"/>
              <w:rPr>
                <w:rFonts w:eastAsia="FangSong"/>
                <w:b/>
                <w:bCs/>
                <w:szCs w:val="21"/>
              </w:rPr>
            </w:pPr>
            <w:r>
              <w:rPr>
                <w:rFonts w:hint="eastAsia" w:eastAsia="FangSong"/>
                <w:b/>
                <w:bCs/>
                <w:szCs w:val="21"/>
              </w:rPr>
              <w:t>货物名称</w:t>
            </w:r>
          </w:p>
        </w:tc>
        <w:tc>
          <w:tcPr>
            <w:tcW w:w="1134" w:type="dxa"/>
            <w:vAlign w:val="center"/>
          </w:tcPr>
          <w:p w14:paraId="59F2BC0F">
            <w:pPr>
              <w:widowControl/>
              <w:spacing w:line="360" w:lineRule="auto"/>
              <w:jc w:val="center"/>
              <w:rPr>
                <w:rFonts w:eastAsia="FangSong"/>
                <w:b/>
                <w:bCs/>
                <w:szCs w:val="21"/>
              </w:rPr>
            </w:pPr>
            <w:r>
              <w:rPr>
                <w:rFonts w:hint="eastAsia" w:eastAsia="FangSong"/>
                <w:b/>
                <w:bCs/>
                <w:szCs w:val="21"/>
              </w:rPr>
              <w:t>是否为</w:t>
            </w:r>
          </w:p>
          <w:p w14:paraId="1611BC6A">
            <w:pPr>
              <w:widowControl/>
              <w:spacing w:line="360" w:lineRule="auto"/>
              <w:jc w:val="center"/>
              <w:rPr>
                <w:rFonts w:eastAsia="FangSong"/>
                <w:b/>
                <w:bCs/>
                <w:szCs w:val="21"/>
              </w:rPr>
            </w:pPr>
            <w:r>
              <w:rPr>
                <w:rFonts w:hint="eastAsia" w:eastAsia="FangSong"/>
                <w:b/>
                <w:bCs/>
                <w:szCs w:val="21"/>
              </w:rPr>
              <w:t>进口设备</w:t>
            </w:r>
          </w:p>
        </w:tc>
        <w:tc>
          <w:tcPr>
            <w:tcW w:w="957" w:type="dxa"/>
            <w:vAlign w:val="center"/>
          </w:tcPr>
          <w:p w14:paraId="18CF303B">
            <w:pPr>
              <w:widowControl/>
              <w:spacing w:line="360" w:lineRule="auto"/>
              <w:jc w:val="center"/>
              <w:rPr>
                <w:rFonts w:eastAsia="FangSong"/>
                <w:b/>
                <w:bCs/>
                <w:szCs w:val="21"/>
              </w:rPr>
            </w:pPr>
            <w:r>
              <w:rPr>
                <w:rFonts w:hint="eastAsia" w:eastAsia="FangSong"/>
                <w:b/>
                <w:bCs/>
                <w:szCs w:val="21"/>
              </w:rPr>
              <w:t>单位</w:t>
            </w:r>
          </w:p>
        </w:tc>
        <w:tc>
          <w:tcPr>
            <w:tcW w:w="854" w:type="dxa"/>
            <w:vAlign w:val="center"/>
          </w:tcPr>
          <w:p w14:paraId="7138537E">
            <w:pPr>
              <w:widowControl/>
              <w:spacing w:line="360" w:lineRule="auto"/>
              <w:jc w:val="center"/>
              <w:rPr>
                <w:rFonts w:eastAsia="FangSong"/>
                <w:b/>
                <w:bCs/>
                <w:szCs w:val="21"/>
              </w:rPr>
            </w:pPr>
            <w:r>
              <w:rPr>
                <w:rFonts w:hint="eastAsia" w:eastAsia="FangSong"/>
                <w:b/>
                <w:bCs/>
                <w:szCs w:val="21"/>
              </w:rPr>
              <w:t>数量</w:t>
            </w:r>
          </w:p>
        </w:tc>
        <w:tc>
          <w:tcPr>
            <w:tcW w:w="1090" w:type="dxa"/>
            <w:vAlign w:val="center"/>
          </w:tcPr>
          <w:p w14:paraId="2083C25E">
            <w:pPr>
              <w:widowControl/>
              <w:spacing w:line="360" w:lineRule="auto"/>
              <w:jc w:val="center"/>
              <w:rPr>
                <w:rFonts w:eastAsia="FangSong"/>
                <w:b/>
                <w:bCs/>
                <w:szCs w:val="21"/>
              </w:rPr>
            </w:pPr>
            <w:r>
              <w:rPr>
                <w:rFonts w:hint="eastAsia" w:eastAsia="FangSong"/>
                <w:b/>
                <w:bCs/>
                <w:szCs w:val="21"/>
              </w:rPr>
              <w:t>是否属</w:t>
            </w:r>
          </w:p>
          <w:p w14:paraId="5E6053DA">
            <w:pPr>
              <w:widowControl/>
              <w:spacing w:line="360" w:lineRule="auto"/>
              <w:jc w:val="center"/>
              <w:rPr>
                <w:rFonts w:eastAsia="FangSong"/>
                <w:b/>
                <w:bCs/>
                <w:szCs w:val="21"/>
              </w:rPr>
            </w:pPr>
            <w:r>
              <w:rPr>
                <w:rFonts w:hint="eastAsia" w:eastAsia="FangSong"/>
                <w:b/>
                <w:bCs/>
                <w:szCs w:val="21"/>
              </w:rPr>
              <w:t>核心产品</w:t>
            </w:r>
          </w:p>
        </w:tc>
      </w:tr>
      <w:tr w14:paraId="60F7DD55">
        <w:trPr>
          <w:trHeight w:val="68" w:hRule="atLeast"/>
        </w:trPr>
        <w:tc>
          <w:tcPr>
            <w:tcW w:w="840" w:type="dxa"/>
            <w:vAlign w:val="center"/>
          </w:tcPr>
          <w:p w14:paraId="48FBB556">
            <w:pPr>
              <w:spacing w:line="360" w:lineRule="auto"/>
              <w:jc w:val="center"/>
              <w:rPr>
                <w:rFonts w:eastAsia="FangSong"/>
                <w:szCs w:val="21"/>
              </w:rPr>
            </w:pPr>
            <w:r>
              <w:rPr>
                <w:rFonts w:hint="eastAsia" w:eastAsia="FangSong"/>
                <w:szCs w:val="21"/>
              </w:rPr>
              <w:t>1</w:t>
            </w:r>
          </w:p>
        </w:tc>
        <w:tc>
          <w:tcPr>
            <w:tcW w:w="3600" w:type="dxa"/>
            <w:vAlign w:val="center"/>
          </w:tcPr>
          <w:p w14:paraId="500DC428">
            <w:pPr>
              <w:jc w:val="center"/>
              <w:rPr>
                <w:rFonts w:eastAsia="FangSong"/>
                <w:szCs w:val="21"/>
              </w:rPr>
            </w:pPr>
            <w:r>
              <w:rPr>
                <w:rFonts w:hint="eastAsia" w:eastAsia="FangSong"/>
                <w:szCs w:val="21"/>
                <w:lang w:eastAsia="zh-CN"/>
              </w:rPr>
              <w:t>医师技术档案管理系统</w:t>
            </w:r>
          </w:p>
        </w:tc>
        <w:tc>
          <w:tcPr>
            <w:tcW w:w="1134" w:type="dxa"/>
            <w:vAlign w:val="center"/>
          </w:tcPr>
          <w:p w14:paraId="209EAFE6">
            <w:pPr>
              <w:widowControl/>
              <w:spacing w:line="360" w:lineRule="auto"/>
              <w:jc w:val="center"/>
              <w:rPr>
                <w:rFonts w:eastAsia="FangSong"/>
                <w:szCs w:val="21"/>
              </w:rPr>
            </w:pPr>
            <w:r>
              <w:rPr>
                <w:rFonts w:hint="eastAsia" w:eastAsia="FangSong"/>
                <w:szCs w:val="21"/>
              </w:rPr>
              <w:t>否</w:t>
            </w:r>
          </w:p>
        </w:tc>
        <w:tc>
          <w:tcPr>
            <w:tcW w:w="957" w:type="dxa"/>
            <w:vAlign w:val="center"/>
          </w:tcPr>
          <w:p w14:paraId="212B641B">
            <w:pPr>
              <w:widowControl/>
              <w:spacing w:line="360" w:lineRule="auto"/>
              <w:jc w:val="center"/>
              <w:rPr>
                <w:rFonts w:eastAsia="FangSong"/>
                <w:szCs w:val="21"/>
              </w:rPr>
            </w:pPr>
            <w:r>
              <w:rPr>
                <w:rFonts w:hint="eastAsia" w:eastAsia="FangSong"/>
                <w:szCs w:val="21"/>
              </w:rPr>
              <w:t>1</w:t>
            </w:r>
          </w:p>
        </w:tc>
        <w:tc>
          <w:tcPr>
            <w:tcW w:w="854" w:type="dxa"/>
            <w:vAlign w:val="center"/>
          </w:tcPr>
          <w:p w14:paraId="460A6CC1">
            <w:pPr>
              <w:widowControl/>
              <w:spacing w:line="360" w:lineRule="auto"/>
              <w:jc w:val="center"/>
              <w:rPr>
                <w:rFonts w:eastAsia="FangSong"/>
                <w:szCs w:val="21"/>
              </w:rPr>
            </w:pPr>
            <w:r>
              <w:rPr>
                <w:rFonts w:hint="eastAsia" w:eastAsia="FangSong"/>
                <w:szCs w:val="21"/>
              </w:rPr>
              <w:t>套</w:t>
            </w:r>
          </w:p>
        </w:tc>
        <w:tc>
          <w:tcPr>
            <w:tcW w:w="1090" w:type="dxa"/>
            <w:vAlign w:val="center"/>
          </w:tcPr>
          <w:p w14:paraId="18C89BB1">
            <w:pPr>
              <w:spacing w:line="360" w:lineRule="auto"/>
              <w:jc w:val="center"/>
              <w:rPr>
                <w:rFonts w:eastAsia="FangSong"/>
                <w:szCs w:val="21"/>
              </w:rPr>
            </w:pPr>
            <w:r>
              <w:rPr>
                <w:rFonts w:hint="eastAsia" w:eastAsia="FangSong"/>
                <w:szCs w:val="21"/>
              </w:rPr>
              <w:t>是</w:t>
            </w:r>
          </w:p>
        </w:tc>
      </w:tr>
    </w:tbl>
    <w:p w14:paraId="6C7DEEC6">
      <w:pPr>
        <w:pStyle w:val="2"/>
        <w:rPr>
          <w:rFonts w:eastAsia="黑体"/>
          <w:sz w:val="28"/>
          <w:szCs w:val="28"/>
        </w:rPr>
      </w:pPr>
      <w:r>
        <w:rPr>
          <w:rFonts w:eastAsia="黑体"/>
          <w:sz w:val="28"/>
          <w:szCs w:val="28"/>
        </w:rPr>
        <w:t>四、技术指标</w:t>
      </w:r>
    </w:p>
    <w:p w14:paraId="4E243430">
      <w:pPr>
        <w:numPr>
          <w:ilvl w:val="0"/>
          <w:numId w:val="3"/>
        </w:numPr>
        <w:spacing w:line="360" w:lineRule="auto"/>
        <w:rPr>
          <w:rFonts w:ascii="Times New Roman Regular" w:hAnsi="Times New Roman Regular" w:eastAsia="楷体" w:cs="Times New Roman Regular"/>
          <w:b/>
          <w:bCs/>
          <w:sz w:val="28"/>
          <w:szCs w:val="28"/>
        </w:rPr>
      </w:pPr>
      <w:r>
        <w:rPr>
          <w:rFonts w:ascii="Times New Roman Regular" w:hAnsi="Times New Roman Regular" w:eastAsia="楷体" w:cs="Times New Roman Regular"/>
          <w:b/>
          <w:bCs/>
          <w:sz w:val="28"/>
          <w:szCs w:val="28"/>
        </w:rPr>
        <w:t>项目功能模块</w:t>
      </w:r>
      <w:bookmarkStart w:id="0" w:name="_Hlk177134152"/>
    </w:p>
    <w:bookmarkEnd w:id="0"/>
    <w:p w14:paraId="45A2A676">
      <w:pPr>
        <w:spacing w:line="360" w:lineRule="auto"/>
        <w:rPr>
          <w:rFonts w:hint="eastAsia" w:ascii="Times New Roman Regular" w:hAnsi="Times New Roman Regular" w:eastAsia="楷体" w:cs="Times New Roman Regular"/>
          <w:b/>
          <w:bCs/>
          <w:sz w:val="24"/>
          <w:lang w:eastAsia="zh-CN"/>
        </w:rPr>
      </w:pPr>
      <w:r>
        <w:rPr>
          <w:rFonts w:ascii="Times New Roman Regular" w:hAnsi="Times New Roman Regular" w:eastAsia="楷体" w:cs="Times New Roman Regular"/>
          <w:b/>
          <w:bCs/>
          <w:sz w:val="24"/>
        </w:rPr>
        <w:t>1.1</w:t>
      </w:r>
      <w:r>
        <w:rPr>
          <w:rFonts w:hint="eastAsia" w:ascii="Times New Roman Regular" w:hAnsi="Times New Roman Regular" w:eastAsia="楷体" w:cs="Times New Roman Regular"/>
          <w:b/>
          <w:bCs/>
          <w:sz w:val="24"/>
          <w:lang w:eastAsia="zh-CN"/>
        </w:rPr>
        <w:t>医师技术档案</w:t>
      </w:r>
    </w:p>
    <w:tbl>
      <w:tblPr>
        <w:tblStyle w:val="10"/>
        <w:tblW w:w="53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253"/>
        <w:gridCol w:w="1215"/>
        <w:gridCol w:w="972"/>
        <w:gridCol w:w="4883"/>
      </w:tblGrid>
      <w:tr w14:paraId="02DAE8FA">
        <w:trPr>
          <w:trHeight w:val="479" w:hRule="atLeast"/>
          <w:jc w:val="center"/>
        </w:trPr>
        <w:tc>
          <w:tcPr>
            <w:tcW w:w="774" w:type="dxa"/>
            <w:shd w:val="clear" w:color="auto" w:fill="D7D7D7" w:themeFill="background1" w:themeFillShade="D8"/>
            <w:noWrap/>
            <w:vAlign w:val="center"/>
          </w:tcPr>
          <w:p w14:paraId="39297A55">
            <w:pPr>
              <w:widowControl/>
              <w:jc w:val="center"/>
              <w:textAlignment w:val="center"/>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kern w:val="0"/>
                <w:sz w:val="24"/>
                <w:lang w:bidi="ar"/>
              </w:rPr>
              <w:t>序号</w:t>
            </w:r>
          </w:p>
        </w:tc>
        <w:tc>
          <w:tcPr>
            <w:tcW w:w="1253" w:type="dxa"/>
            <w:shd w:val="clear" w:color="auto" w:fill="D7D7D7" w:themeFill="background1" w:themeFillShade="D8"/>
            <w:noWrap/>
            <w:vAlign w:val="center"/>
          </w:tcPr>
          <w:p w14:paraId="5483DADC">
            <w:pPr>
              <w:widowControl/>
              <w:jc w:val="center"/>
              <w:textAlignment w:val="center"/>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kern w:val="0"/>
                <w:sz w:val="24"/>
                <w:lang w:bidi="ar"/>
              </w:rPr>
              <w:t>模块类别</w:t>
            </w:r>
          </w:p>
        </w:tc>
        <w:tc>
          <w:tcPr>
            <w:tcW w:w="1215" w:type="dxa"/>
            <w:shd w:val="clear" w:color="auto" w:fill="D7D7D7" w:themeFill="background1" w:themeFillShade="D8"/>
            <w:noWrap/>
            <w:vAlign w:val="center"/>
          </w:tcPr>
          <w:p w14:paraId="2F1521BB">
            <w:pPr>
              <w:widowControl/>
              <w:jc w:val="center"/>
              <w:textAlignment w:val="center"/>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kern w:val="0"/>
                <w:sz w:val="24"/>
                <w:lang w:bidi="ar"/>
              </w:rPr>
              <w:t>功能模块</w:t>
            </w:r>
          </w:p>
        </w:tc>
        <w:tc>
          <w:tcPr>
            <w:tcW w:w="972" w:type="dxa"/>
            <w:shd w:val="clear" w:color="auto" w:fill="D7D7D7" w:themeFill="background1" w:themeFillShade="D8"/>
            <w:noWrap/>
            <w:vAlign w:val="center"/>
          </w:tcPr>
          <w:p w14:paraId="79CD52CA">
            <w:pPr>
              <w:widowControl/>
              <w:jc w:val="center"/>
              <w:textAlignment w:val="center"/>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kern w:val="0"/>
                <w:sz w:val="24"/>
                <w:lang w:bidi="ar"/>
              </w:rPr>
              <w:t>重要性</w:t>
            </w:r>
          </w:p>
        </w:tc>
        <w:tc>
          <w:tcPr>
            <w:tcW w:w="4883" w:type="dxa"/>
            <w:shd w:val="clear" w:color="auto" w:fill="D7D7D7" w:themeFill="background1" w:themeFillShade="D8"/>
            <w:noWrap/>
            <w:vAlign w:val="center"/>
          </w:tcPr>
          <w:p w14:paraId="15F0E869">
            <w:pPr>
              <w:widowControl/>
              <w:jc w:val="center"/>
              <w:textAlignment w:val="center"/>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kern w:val="0"/>
                <w:sz w:val="24"/>
                <w:lang w:bidi="ar"/>
              </w:rPr>
              <w:t>指标要求</w:t>
            </w:r>
          </w:p>
        </w:tc>
      </w:tr>
      <w:tr w14:paraId="0746B82F">
        <w:trPr>
          <w:trHeight w:val="90" w:hRule="atLeast"/>
          <w:jc w:val="center"/>
        </w:trPr>
        <w:tc>
          <w:tcPr>
            <w:tcW w:w="774" w:type="dxa"/>
            <w:shd w:val="clear" w:color="auto" w:fill="auto"/>
            <w:noWrap/>
            <w:vAlign w:val="center"/>
          </w:tcPr>
          <w:p w14:paraId="6398BE60">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w:t>
            </w:r>
          </w:p>
        </w:tc>
        <w:tc>
          <w:tcPr>
            <w:tcW w:w="1253" w:type="dxa"/>
            <w:vMerge w:val="restart"/>
            <w:shd w:val="clear" w:color="auto" w:fill="auto"/>
            <w:noWrap/>
            <w:vAlign w:val="center"/>
          </w:tcPr>
          <w:p w14:paraId="11C0750A">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医师档案管理</w:t>
            </w:r>
          </w:p>
        </w:tc>
        <w:tc>
          <w:tcPr>
            <w:tcW w:w="1215" w:type="dxa"/>
            <w:shd w:val="clear" w:color="auto" w:fill="auto"/>
            <w:noWrap/>
            <w:vAlign w:val="center"/>
          </w:tcPr>
          <w:p w14:paraId="32C0175D">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医护人员个人档案管理</w:t>
            </w:r>
          </w:p>
        </w:tc>
        <w:tc>
          <w:tcPr>
            <w:tcW w:w="972" w:type="dxa"/>
            <w:shd w:val="clear" w:color="auto" w:fill="auto"/>
            <w:noWrap/>
            <w:vAlign w:val="center"/>
          </w:tcPr>
          <w:p w14:paraId="42A849EA">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1FA29A6D">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建立全类别医务人员标准化电子档案，覆盖医师、护士、医技、药师等人员类别，统一维护基础信息、职称、教育经历、执业范围、资质证书及历史授权；以工号、</w:t>
            </w:r>
            <w:r>
              <w:rPr>
                <w:rFonts w:hint="eastAsia" w:ascii="Times New Roman Regular" w:hAnsi="Times New Roman Regular" w:eastAsia="宋体" w:cs="Times New Roman Regular"/>
                <w:color w:val="000000"/>
                <w:kern w:val="0"/>
                <w:sz w:val="24"/>
                <w:lang w:bidi="ar"/>
              </w:rPr>
              <w:t>身份证号、</w:t>
            </w:r>
            <w:r>
              <w:rPr>
                <w:rFonts w:ascii="Times New Roman Regular" w:hAnsi="Times New Roman Regular" w:eastAsia="宋体" w:cs="Times New Roman Regular"/>
                <w:color w:val="000000"/>
                <w:kern w:val="0"/>
                <w:sz w:val="24"/>
                <w:lang w:bidi="ar"/>
              </w:rPr>
              <w:t>执业证号等唯一身份标识进行关联，作为权限管控的重要数据来源，支持全景视图与多维检索。</w:t>
            </w:r>
          </w:p>
        </w:tc>
      </w:tr>
      <w:tr w14:paraId="2E138872">
        <w:trPr>
          <w:trHeight w:val="90" w:hRule="atLeast"/>
          <w:jc w:val="center"/>
        </w:trPr>
        <w:tc>
          <w:tcPr>
            <w:tcW w:w="774" w:type="dxa"/>
            <w:shd w:val="clear" w:color="auto" w:fill="auto"/>
            <w:noWrap/>
            <w:vAlign w:val="center"/>
          </w:tcPr>
          <w:p w14:paraId="27CD0856">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w:t>
            </w:r>
          </w:p>
        </w:tc>
        <w:tc>
          <w:tcPr>
            <w:tcW w:w="1253" w:type="dxa"/>
            <w:vMerge w:val="continue"/>
            <w:shd w:val="clear" w:color="auto" w:fill="auto"/>
            <w:noWrap/>
            <w:vAlign w:val="center"/>
          </w:tcPr>
          <w:p w14:paraId="624A6CAE">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26007E47">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人力资源系统对接</w:t>
            </w:r>
          </w:p>
        </w:tc>
        <w:tc>
          <w:tcPr>
            <w:tcW w:w="972" w:type="dxa"/>
            <w:shd w:val="clear" w:color="auto" w:fill="auto"/>
            <w:noWrap/>
            <w:vAlign w:val="center"/>
          </w:tcPr>
          <w:p w14:paraId="1A14E6F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231A150A">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与HRP系统对接同步人员主数据，包括基础信息、组织架构、入离职状态、岗位变化等；该功能默认关闭，经配置字段映射、同步规则和审核流程后启用；支持增量同步、手动同步和异常数据校验，外部数据进入“待生效池”，经授权人员确认后按规则触发权限变更。</w:t>
            </w:r>
          </w:p>
        </w:tc>
      </w:tr>
      <w:tr w14:paraId="2FD0F6E6">
        <w:trPr>
          <w:trHeight w:val="90" w:hRule="atLeast"/>
          <w:jc w:val="center"/>
        </w:trPr>
        <w:tc>
          <w:tcPr>
            <w:tcW w:w="774" w:type="dxa"/>
            <w:shd w:val="clear" w:color="auto" w:fill="auto"/>
            <w:noWrap/>
            <w:vAlign w:val="center"/>
          </w:tcPr>
          <w:p w14:paraId="47D34298">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3</w:t>
            </w:r>
          </w:p>
        </w:tc>
        <w:tc>
          <w:tcPr>
            <w:tcW w:w="1253" w:type="dxa"/>
            <w:vMerge w:val="continue"/>
            <w:shd w:val="clear" w:color="auto" w:fill="auto"/>
            <w:noWrap/>
            <w:vAlign w:val="center"/>
          </w:tcPr>
          <w:p w14:paraId="0014E63F">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7896FA7E">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档案维护与录入</w:t>
            </w:r>
          </w:p>
        </w:tc>
        <w:tc>
          <w:tcPr>
            <w:tcW w:w="972" w:type="dxa"/>
            <w:shd w:val="clear" w:color="auto" w:fill="auto"/>
            <w:noWrap/>
            <w:vAlign w:val="center"/>
          </w:tcPr>
          <w:p w14:paraId="5D807839">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597BDBC5">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提供非HRP场景下的数据补录与修正能力，支持批量导入、个人自助更新、科室维护和管理员审核；支持字段级版本控制、变更比对、操作审计和历史追溯，确保多源数据合并去重、来源可查、责任可追。</w:t>
            </w:r>
          </w:p>
        </w:tc>
      </w:tr>
      <w:tr w14:paraId="1EC53258">
        <w:trPr>
          <w:trHeight w:val="90" w:hRule="atLeast"/>
          <w:jc w:val="center"/>
        </w:trPr>
        <w:tc>
          <w:tcPr>
            <w:tcW w:w="774" w:type="dxa"/>
            <w:shd w:val="clear" w:color="auto" w:fill="auto"/>
            <w:noWrap/>
            <w:vAlign w:val="center"/>
          </w:tcPr>
          <w:p w14:paraId="14F19265">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4</w:t>
            </w:r>
          </w:p>
        </w:tc>
        <w:tc>
          <w:tcPr>
            <w:tcW w:w="1253" w:type="dxa"/>
            <w:vMerge w:val="continue"/>
            <w:shd w:val="clear" w:color="auto" w:fill="auto"/>
            <w:noWrap/>
            <w:vAlign w:val="center"/>
          </w:tcPr>
          <w:p w14:paraId="3388DA54">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1DD1FE74">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证件与资质管理</w:t>
            </w:r>
          </w:p>
        </w:tc>
        <w:tc>
          <w:tcPr>
            <w:tcW w:w="972" w:type="dxa"/>
            <w:shd w:val="clear" w:color="auto" w:fill="auto"/>
            <w:noWrap/>
            <w:vAlign w:val="center"/>
          </w:tcPr>
          <w:p w14:paraId="3559EF0E">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73BC23B0">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建立资质证件库，支持执业证、资格证、培训合格证、专项技术证书等分类管理与有效期监控；支持批量导入、OCR识别与电子归档；临期自动预警，过期后按医院授权规则触发提醒、复核、暂停或限制相关授权，并保留处理记录。</w:t>
            </w:r>
          </w:p>
        </w:tc>
      </w:tr>
      <w:tr w14:paraId="7DF87251">
        <w:trPr>
          <w:trHeight w:val="90" w:hRule="atLeast"/>
          <w:jc w:val="center"/>
        </w:trPr>
        <w:tc>
          <w:tcPr>
            <w:tcW w:w="774" w:type="dxa"/>
            <w:shd w:val="clear" w:color="auto" w:fill="auto"/>
            <w:noWrap/>
            <w:vAlign w:val="center"/>
          </w:tcPr>
          <w:p w14:paraId="679D8C8A">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5</w:t>
            </w:r>
          </w:p>
        </w:tc>
        <w:tc>
          <w:tcPr>
            <w:tcW w:w="1253" w:type="dxa"/>
            <w:vMerge w:val="continue"/>
            <w:shd w:val="clear" w:color="auto" w:fill="auto"/>
            <w:noWrap/>
            <w:vAlign w:val="center"/>
          </w:tcPr>
          <w:p w14:paraId="5CA78542">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329ABAE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人员异动与权限联动</w:t>
            </w:r>
          </w:p>
        </w:tc>
        <w:tc>
          <w:tcPr>
            <w:tcW w:w="972" w:type="dxa"/>
            <w:shd w:val="clear" w:color="auto" w:fill="auto"/>
            <w:noWrap/>
            <w:vAlign w:val="center"/>
          </w:tcPr>
          <w:p w14:paraId="5977E3D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64A4B3D0">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统筹离职、转科、</w:t>
            </w:r>
            <w:r>
              <w:rPr>
                <w:rFonts w:hint="eastAsia" w:ascii="Times New Roman Regular" w:hAnsi="Times New Roman Regular" w:eastAsia="宋体" w:cs="Times New Roman Regular"/>
                <w:color w:val="000000"/>
                <w:kern w:val="0"/>
                <w:sz w:val="24"/>
                <w:lang w:bidi="ar"/>
              </w:rPr>
              <w:t>外援、</w:t>
            </w:r>
            <w:r>
              <w:rPr>
                <w:rFonts w:ascii="Times New Roman Regular" w:hAnsi="Times New Roman Regular" w:eastAsia="宋体" w:cs="Times New Roman Regular"/>
                <w:color w:val="000000"/>
                <w:kern w:val="0"/>
                <w:sz w:val="24"/>
                <w:lang w:bidi="ar"/>
              </w:rPr>
              <w:t>借调、轮转、进修、规培、实习、值班等状态变更的权限响应；接收HRP数据或人工申请后，按配置规则执行“原权限回收/暂停/保留→新岗权限匹配/开通→业务系统同步”；支持离职一键失效、轮转周期自动过渡、值班权限按时间和区域自动匹配、批量处理及全过程留痕。</w:t>
            </w:r>
          </w:p>
        </w:tc>
      </w:tr>
      <w:tr w14:paraId="5B380FBC">
        <w:trPr>
          <w:trHeight w:val="90" w:hRule="atLeast"/>
          <w:jc w:val="center"/>
        </w:trPr>
        <w:tc>
          <w:tcPr>
            <w:tcW w:w="774" w:type="dxa"/>
            <w:shd w:val="clear" w:color="auto" w:fill="auto"/>
            <w:noWrap/>
            <w:vAlign w:val="center"/>
          </w:tcPr>
          <w:p w14:paraId="2AF22E82">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6</w:t>
            </w:r>
          </w:p>
        </w:tc>
        <w:tc>
          <w:tcPr>
            <w:tcW w:w="1253" w:type="dxa"/>
            <w:vMerge w:val="restart"/>
            <w:shd w:val="clear" w:color="auto" w:fill="auto"/>
            <w:noWrap/>
            <w:vAlign w:val="center"/>
          </w:tcPr>
          <w:p w14:paraId="5E5498F5">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权限管理</w:t>
            </w:r>
          </w:p>
        </w:tc>
        <w:tc>
          <w:tcPr>
            <w:tcW w:w="1215" w:type="dxa"/>
            <w:shd w:val="clear" w:color="auto" w:fill="auto"/>
            <w:noWrap/>
            <w:vAlign w:val="center"/>
          </w:tcPr>
          <w:p w14:paraId="7A78E60D">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医疗准入与职权管理</w:t>
            </w:r>
          </w:p>
        </w:tc>
        <w:tc>
          <w:tcPr>
            <w:tcW w:w="972" w:type="dxa"/>
            <w:shd w:val="clear" w:color="auto" w:fill="auto"/>
            <w:noWrap/>
            <w:vAlign w:val="center"/>
          </w:tcPr>
          <w:p w14:paraId="17DF6C50">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2B9135CD">
            <w:pPr>
              <w:widowControl/>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sz w:val="24"/>
              </w:rPr>
              <w:t>满足智慧医院评级、电子病历评级及三级医院评审中医疗准入与职权管理相关要求；支持医护人员岗位职责与业务权限的申请、审核、授权、暂停、恢复、终止全流程闭环，全部操作有完整记录；支持特殊药品、特殊检查、手术与操作、护理操作、治疗项目等主要业务权限通过信息系统线上申请与审批；具备手术分级目录，支持检查、用药、手术、操作、治疗等独立授权管理。</w:t>
            </w:r>
          </w:p>
        </w:tc>
      </w:tr>
      <w:tr w14:paraId="489CF47C">
        <w:trPr>
          <w:trHeight w:val="90" w:hRule="atLeast"/>
          <w:jc w:val="center"/>
        </w:trPr>
        <w:tc>
          <w:tcPr>
            <w:tcW w:w="774" w:type="dxa"/>
            <w:shd w:val="clear" w:color="auto" w:fill="auto"/>
            <w:noWrap/>
            <w:vAlign w:val="center"/>
          </w:tcPr>
          <w:p w14:paraId="34D8327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7</w:t>
            </w:r>
          </w:p>
        </w:tc>
        <w:tc>
          <w:tcPr>
            <w:tcW w:w="1253" w:type="dxa"/>
            <w:vMerge w:val="continue"/>
            <w:shd w:val="clear" w:color="auto" w:fill="auto"/>
            <w:noWrap/>
            <w:vAlign w:val="center"/>
          </w:tcPr>
          <w:p w14:paraId="066ECCE2">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13AE697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手术权限管理</w:t>
            </w:r>
          </w:p>
        </w:tc>
        <w:tc>
          <w:tcPr>
            <w:tcW w:w="972" w:type="dxa"/>
            <w:shd w:val="clear" w:color="auto" w:fill="auto"/>
            <w:noWrap/>
            <w:vAlign w:val="center"/>
          </w:tcPr>
          <w:p w14:paraId="310041E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7E2F0FEC">
            <w:pPr>
              <w:widowControl/>
              <w:jc w:val="both"/>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基于</w:t>
            </w:r>
            <w:r>
              <w:rPr>
                <w:rFonts w:ascii="Times New Roman Regular" w:hAnsi="Times New Roman Regular" w:eastAsia="宋体" w:cs="Times New Roman Regular"/>
                <w:kern w:val="0"/>
                <w:sz w:val="24"/>
                <w:lang w:bidi="ar"/>
              </w:rPr>
              <w:t>国家临床版3.0（国临3.0）</w:t>
            </w:r>
            <w:r>
              <w:rPr>
                <w:rFonts w:ascii="Times New Roman Regular" w:hAnsi="Times New Roman Regular" w:eastAsia="宋体" w:cs="Times New Roman Regular"/>
                <w:color w:val="000000"/>
                <w:kern w:val="0"/>
                <w:sz w:val="24"/>
                <w:lang w:bidi="ar"/>
              </w:rPr>
              <w:t>、ICD-9-CM-3及院内手术目录，实现手术权限申请、审批、授权、暂停、恢复、回收全流程管理；支持按医务人员唯一身份标识、手术级别、专业类别、具体术式、术者角色（主刀、助手等）进行精细化授权；支持授权起止时间、有效期限、延期、暂停、恢复、到期预警及历史追溯。</w:t>
            </w:r>
          </w:p>
        </w:tc>
      </w:tr>
      <w:tr w14:paraId="53438658">
        <w:trPr>
          <w:trHeight w:val="90" w:hRule="atLeast"/>
          <w:jc w:val="center"/>
        </w:trPr>
        <w:tc>
          <w:tcPr>
            <w:tcW w:w="774" w:type="dxa"/>
            <w:shd w:val="clear" w:color="auto" w:fill="auto"/>
            <w:noWrap/>
            <w:vAlign w:val="center"/>
          </w:tcPr>
          <w:p w14:paraId="004EE718">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8</w:t>
            </w:r>
          </w:p>
        </w:tc>
        <w:tc>
          <w:tcPr>
            <w:tcW w:w="1253" w:type="dxa"/>
            <w:vMerge w:val="continue"/>
            <w:shd w:val="clear" w:color="auto" w:fill="auto"/>
            <w:noWrap/>
            <w:vAlign w:val="center"/>
          </w:tcPr>
          <w:p w14:paraId="43BAB842">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2537BD8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处方权限管理</w:t>
            </w:r>
          </w:p>
        </w:tc>
        <w:tc>
          <w:tcPr>
            <w:tcW w:w="972" w:type="dxa"/>
            <w:shd w:val="clear" w:color="auto" w:fill="auto"/>
            <w:noWrap/>
            <w:vAlign w:val="center"/>
          </w:tcPr>
          <w:p w14:paraId="575EF4B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176C2E88">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覆盖普通处方权、抗菌药物处方权（非限制级、限制级、特殊级）、精麻毒放药品处方权、抗肿瘤药物处方权等管理；支持权限与职称、岗位、培训考核结果、资质证书有效期自动关联校验；支持处方权授权信息与医务、药学、门急诊、住院等相关管理部门共享查询和追溯。</w:t>
            </w:r>
          </w:p>
        </w:tc>
      </w:tr>
      <w:tr w14:paraId="2BDB0C0B">
        <w:trPr>
          <w:trHeight w:val="90" w:hRule="atLeast"/>
          <w:jc w:val="center"/>
        </w:trPr>
        <w:tc>
          <w:tcPr>
            <w:tcW w:w="774" w:type="dxa"/>
            <w:shd w:val="clear" w:color="auto" w:fill="auto"/>
            <w:noWrap/>
            <w:vAlign w:val="center"/>
          </w:tcPr>
          <w:p w14:paraId="4A40F85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9</w:t>
            </w:r>
          </w:p>
        </w:tc>
        <w:tc>
          <w:tcPr>
            <w:tcW w:w="1253" w:type="dxa"/>
            <w:vMerge w:val="continue"/>
            <w:shd w:val="clear" w:color="auto" w:fill="auto"/>
            <w:noWrap/>
            <w:vAlign w:val="center"/>
          </w:tcPr>
          <w:p w14:paraId="399D449E">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33FC565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麻醉与专项技术授权</w:t>
            </w:r>
          </w:p>
        </w:tc>
        <w:tc>
          <w:tcPr>
            <w:tcW w:w="972" w:type="dxa"/>
            <w:shd w:val="clear" w:color="auto" w:fill="auto"/>
            <w:noWrap/>
            <w:vAlign w:val="center"/>
          </w:tcPr>
          <w:p w14:paraId="05450E61">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080AE18E">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麻醉权限（按麻醉方式、ASA分级等维度管理）及CT、影像、超声、内镜、介入、特殊检查、特殊治疗等专项技术授权管理；实现申请、审批、授权、暂停、恢复、终止全流程线上化，支持资质证书效期联动、授权信息共享和操作记录追溯。</w:t>
            </w:r>
          </w:p>
        </w:tc>
      </w:tr>
      <w:tr w14:paraId="328D6317">
        <w:trPr>
          <w:trHeight w:val="90" w:hRule="atLeast"/>
          <w:jc w:val="center"/>
        </w:trPr>
        <w:tc>
          <w:tcPr>
            <w:tcW w:w="774" w:type="dxa"/>
            <w:shd w:val="clear" w:color="auto" w:fill="auto"/>
            <w:noWrap/>
            <w:vAlign w:val="center"/>
          </w:tcPr>
          <w:p w14:paraId="230E3565">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10</w:t>
            </w:r>
          </w:p>
        </w:tc>
        <w:tc>
          <w:tcPr>
            <w:tcW w:w="1253" w:type="dxa"/>
            <w:vMerge w:val="continue"/>
            <w:shd w:val="clear" w:color="auto" w:fill="auto"/>
            <w:noWrap/>
            <w:vAlign w:val="center"/>
          </w:tcPr>
          <w:p w14:paraId="4BCFA918">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0258CB0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操作权限分级与核对</w:t>
            </w:r>
          </w:p>
        </w:tc>
        <w:tc>
          <w:tcPr>
            <w:tcW w:w="972" w:type="dxa"/>
            <w:shd w:val="clear" w:color="auto" w:fill="auto"/>
            <w:noWrap/>
            <w:vAlign w:val="center"/>
          </w:tcPr>
          <w:p w14:paraId="5E49154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34E33686">
            <w:pPr>
              <w:widowControl/>
              <w:jc w:val="both"/>
              <w:rPr>
                <w:rFonts w:ascii="Times New Roman Regular" w:hAnsi="Times New Roman Regular" w:eastAsia="宋体" w:cs="Times New Roman Regular"/>
                <w:color w:val="000000"/>
                <w:kern w:val="0"/>
                <w:sz w:val="24"/>
                <w:lang w:bidi="ar"/>
              </w:rPr>
            </w:pPr>
            <w:r>
              <w:rPr>
                <w:rFonts w:ascii="宋体" w:hAnsi="宋体" w:eastAsia="宋体" w:cs="宋体"/>
                <w:kern w:val="0"/>
                <w:sz w:val="24"/>
                <w:lang w:bidi="ar"/>
              </w:rPr>
              <w:t>支持基础操作、专科操作、高风险操作以及护理操作中涉及授权管理的项目分级授权；高风险操作包括PICC、透析、有创操作、输血、特殊药物使用等。系统应支持授权状态查询、权限校验、操作记录关联和责任人员追溯，并可根据医院现有系统接口条件，向护理系统或相关业务系统提供授权校验接口及授权结果查询服务，为相关业务系统开展执行提醒、双人核对、执行留痕和责任追溯提供数据支撑</w:t>
            </w:r>
            <w:r>
              <w:rPr>
                <w:rFonts w:ascii="Times New Roman Regular" w:hAnsi="Times New Roman Regular" w:eastAsia="宋体" w:cs="Times New Roman Regular"/>
                <w:color w:val="000000"/>
                <w:kern w:val="0"/>
                <w:sz w:val="24"/>
                <w:lang w:bidi="ar"/>
              </w:rPr>
              <w:t>。</w:t>
            </w:r>
          </w:p>
        </w:tc>
      </w:tr>
      <w:tr w14:paraId="341947E5">
        <w:trPr>
          <w:trHeight w:val="90" w:hRule="atLeast"/>
          <w:jc w:val="center"/>
        </w:trPr>
        <w:tc>
          <w:tcPr>
            <w:tcW w:w="774" w:type="dxa"/>
            <w:shd w:val="clear" w:color="auto" w:fill="auto"/>
            <w:noWrap/>
            <w:vAlign w:val="center"/>
          </w:tcPr>
          <w:p w14:paraId="0ACE2B15">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11</w:t>
            </w:r>
          </w:p>
        </w:tc>
        <w:tc>
          <w:tcPr>
            <w:tcW w:w="1253" w:type="dxa"/>
            <w:vMerge w:val="continue"/>
            <w:shd w:val="clear" w:color="auto" w:fill="auto"/>
            <w:noWrap/>
            <w:vAlign w:val="center"/>
          </w:tcPr>
          <w:p w14:paraId="0661EF6F">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576B1BA0">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执业范围与智能校验</w:t>
            </w:r>
          </w:p>
        </w:tc>
        <w:tc>
          <w:tcPr>
            <w:tcW w:w="972" w:type="dxa"/>
            <w:shd w:val="clear" w:color="auto" w:fill="auto"/>
            <w:noWrap/>
            <w:vAlign w:val="center"/>
          </w:tcPr>
          <w:p w14:paraId="762D811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560ABFC8">
            <w:pPr>
              <w:widowControl/>
              <w:jc w:val="both"/>
              <w:rPr>
                <w:rFonts w:ascii="Times New Roman Regular" w:hAnsi="Times New Roman Regular" w:eastAsia="宋体" w:cs="Times New Roman Regular"/>
                <w:color w:val="000000"/>
                <w:kern w:val="0"/>
                <w:sz w:val="24"/>
                <w:lang w:bidi="ar"/>
              </w:rPr>
            </w:pPr>
            <w:r>
              <w:rPr>
                <w:rFonts w:ascii="宋体" w:hAnsi="宋体" w:eastAsia="宋体" w:cs="宋体"/>
                <w:kern w:val="0"/>
                <w:sz w:val="24"/>
                <w:lang w:bidi="ar"/>
              </w:rPr>
              <w:t>记录注册医护人员执业范围，并与系统授权范围保持一致；对进修、</w:t>
            </w:r>
            <w:r>
              <w:rPr>
                <w:rFonts w:hint="eastAsia" w:ascii="宋体" w:hAnsi="宋体" w:eastAsia="宋体" w:cs="宋体"/>
                <w:kern w:val="0"/>
                <w:sz w:val="24"/>
                <w:lang w:bidi="ar"/>
              </w:rPr>
              <w:t>外援、</w:t>
            </w:r>
            <w:r>
              <w:rPr>
                <w:rFonts w:ascii="宋体" w:hAnsi="宋体" w:eastAsia="宋体" w:cs="宋体"/>
                <w:kern w:val="0"/>
                <w:sz w:val="24"/>
                <w:lang w:bidi="ar"/>
              </w:rPr>
              <w:t>规培、实习、轮转和值班人员进行明确标识。在医嘱、手术、检查、治疗、操作等业务环节，支持按人员身份、岗位、科室、时间、区域、执业范围和授权状态进行权限校验，提供事前提醒、事中校验和事后追溯；涉及用药安全、过敏史、既往诊疗等临床规则时，可按医院现有业务系统或专业审核系统接口条件进行联动提示，不替代专业临床决策</w:t>
            </w:r>
            <w:r>
              <w:rPr>
                <w:rFonts w:ascii="Times New Roman Regular" w:hAnsi="Times New Roman Regular" w:eastAsia="宋体" w:cs="Times New Roman Regular"/>
                <w:color w:val="000000"/>
                <w:kern w:val="0"/>
                <w:sz w:val="24"/>
                <w:lang w:bidi="ar"/>
              </w:rPr>
              <w:t>。</w:t>
            </w:r>
          </w:p>
        </w:tc>
      </w:tr>
      <w:tr w14:paraId="0F986C22">
        <w:trPr>
          <w:trHeight w:val="90" w:hRule="atLeast"/>
          <w:jc w:val="center"/>
        </w:trPr>
        <w:tc>
          <w:tcPr>
            <w:tcW w:w="774" w:type="dxa"/>
            <w:shd w:val="clear" w:color="auto" w:fill="auto"/>
            <w:noWrap/>
            <w:vAlign w:val="center"/>
          </w:tcPr>
          <w:p w14:paraId="4AE16BB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12</w:t>
            </w:r>
          </w:p>
        </w:tc>
        <w:tc>
          <w:tcPr>
            <w:tcW w:w="1253" w:type="dxa"/>
            <w:vMerge w:val="continue"/>
            <w:shd w:val="clear" w:color="auto" w:fill="auto"/>
            <w:noWrap/>
            <w:vAlign w:val="center"/>
          </w:tcPr>
          <w:p w14:paraId="45C7BC7A">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3C3E5261">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授权预警与延期管理</w:t>
            </w:r>
          </w:p>
        </w:tc>
        <w:tc>
          <w:tcPr>
            <w:tcW w:w="972" w:type="dxa"/>
            <w:shd w:val="clear" w:color="auto" w:fill="auto"/>
            <w:noWrap/>
            <w:vAlign w:val="center"/>
          </w:tcPr>
          <w:p w14:paraId="6F115B5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2FFF7AC4">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自定义授权预警天数（如30/60/90天），自动推送临期授权清单至申请人、科室管理员及相关管理部门；支持在线延期申请、审批、续期、暂停、恢复和终止处理；支持对授权起止时间、有效期、审批节点和变更记录进行追溯，避免授权空窗和超期使用风险。</w:t>
            </w:r>
          </w:p>
        </w:tc>
      </w:tr>
      <w:tr w14:paraId="0B0A407A">
        <w:trPr>
          <w:trHeight w:val="90" w:hRule="atLeast"/>
          <w:jc w:val="center"/>
        </w:trPr>
        <w:tc>
          <w:tcPr>
            <w:tcW w:w="774" w:type="dxa"/>
            <w:shd w:val="clear" w:color="auto" w:fill="auto"/>
            <w:noWrap/>
            <w:vAlign w:val="center"/>
          </w:tcPr>
          <w:p w14:paraId="0F1D9D7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13</w:t>
            </w:r>
          </w:p>
        </w:tc>
        <w:tc>
          <w:tcPr>
            <w:tcW w:w="1253" w:type="dxa"/>
            <w:vMerge w:val="restart"/>
            <w:shd w:val="clear" w:color="auto" w:fill="auto"/>
            <w:noWrap/>
            <w:vAlign w:val="center"/>
          </w:tcPr>
          <w:p w14:paraId="0C8F6B89">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技术准入与新技术管理</w:t>
            </w:r>
          </w:p>
        </w:tc>
        <w:tc>
          <w:tcPr>
            <w:tcW w:w="1215" w:type="dxa"/>
            <w:shd w:val="clear" w:color="auto" w:fill="auto"/>
            <w:noWrap/>
            <w:vAlign w:val="center"/>
          </w:tcPr>
          <w:p w14:paraId="3D7AD6EC">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技术目录管理</w:t>
            </w:r>
          </w:p>
        </w:tc>
        <w:tc>
          <w:tcPr>
            <w:tcW w:w="972" w:type="dxa"/>
            <w:shd w:val="clear" w:color="auto" w:fill="auto"/>
            <w:noWrap/>
            <w:vAlign w:val="center"/>
          </w:tcPr>
          <w:p w14:paraId="270C9D37">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533BC9BB">
            <w:pPr>
              <w:widowControl/>
              <w:jc w:val="both"/>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建立全院医疗技术分类目录，维护科室手术、操作、诊疗项目和专项技术应用清单；支持建立临床医疗技术、诊疗项目、手术操作项目等统一字典，</w:t>
            </w:r>
            <w:r>
              <w:rPr>
                <w:rFonts w:ascii="Times New Roman Regular" w:hAnsi="Times New Roman Regular" w:eastAsia="宋体" w:cs="Times New Roman Regular"/>
                <w:kern w:val="0"/>
                <w:sz w:val="24"/>
                <w:lang w:bidi="ar"/>
              </w:rPr>
              <w:t>并与</w:t>
            </w:r>
            <w:r>
              <w:rPr>
                <w:rFonts w:ascii="Times New Roman Regular" w:hAnsi="Times New Roman Regular" w:eastAsia="宋体" w:cs="Times New Roman Regular"/>
                <w:color w:val="000000"/>
                <w:kern w:val="0"/>
                <w:sz w:val="24"/>
                <w:lang w:bidi="ar"/>
              </w:rPr>
              <w:t>ICD-10、ICD-9-CM-3、国临3.0、院内目录等标准进行动态映射、版本管理和变更留痕。</w:t>
            </w:r>
          </w:p>
        </w:tc>
      </w:tr>
      <w:tr w14:paraId="530026F8">
        <w:trPr>
          <w:trHeight w:val="90" w:hRule="atLeast"/>
          <w:jc w:val="center"/>
        </w:trPr>
        <w:tc>
          <w:tcPr>
            <w:tcW w:w="774" w:type="dxa"/>
            <w:shd w:val="clear" w:color="auto" w:fill="auto"/>
            <w:noWrap/>
            <w:vAlign w:val="center"/>
          </w:tcPr>
          <w:p w14:paraId="51FBE1DE">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14</w:t>
            </w:r>
          </w:p>
        </w:tc>
        <w:tc>
          <w:tcPr>
            <w:tcW w:w="1253" w:type="dxa"/>
            <w:vMerge w:val="continue"/>
            <w:shd w:val="clear" w:color="auto" w:fill="auto"/>
            <w:noWrap/>
            <w:vAlign w:val="center"/>
          </w:tcPr>
          <w:p w14:paraId="1B39D6D9">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442C4E1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限制类技术全流程管理</w:t>
            </w:r>
          </w:p>
        </w:tc>
        <w:tc>
          <w:tcPr>
            <w:tcW w:w="972" w:type="dxa"/>
            <w:shd w:val="clear" w:color="auto" w:fill="auto"/>
            <w:noWrap/>
            <w:vAlign w:val="center"/>
          </w:tcPr>
          <w:p w14:paraId="699E0578">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246D4502">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严格落实《医疗技术临床应用管理办法》相关要求，覆盖限制类技术自我评估、伦理审核、备案登记、授权准入、质量控制、应用追踪与数据上报；支持对首次开展项目进行识别和提醒，对限制类技术应用过程进行全程追踪，自动采集、汇总开展例数、授权人员匹配情况、质量安全事件、并发症、不良事件等监控指标，支持国家目录动态维护。</w:t>
            </w:r>
          </w:p>
        </w:tc>
      </w:tr>
      <w:tr w14:paraId="7F8A00A8">
        <w:trPr>
          <w:trHeight w:val="90" w:hRule="atLeast"/>
          <w:jc w:val="center"/>
        </w:trPr>
        <w:tc>
          <w:tcPr>
            <w:tcW w:w="774" w:type="dxa"/>
            <w:shd w:val="clear" w:color="auto" w:fill="auto"/>
            <w:noWrap/>
            <w:vAlign w:val="center"/>
          </w:tcPr>
          <w:p w14:paraId="093BF34C">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15</w:t>
            </w:r>
          </w:p>
        </w:tc>
        <w:tc>
          <w:tcPr>
            <w:tcW w:w="1253" w:type="dxa"/>
            <w:vMerge w:val="continue"/>
            <w:shd w:val="clear" w:color="auto" w:fill="auto"/>
            <w:noWrap/>
            <w:vAlign w:val="center"/>
          </w:tcPr>
          <w:p w14:paraId="47CE8133">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5454A2E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新技术项目管理</w:t>
            </w:r>
          </w:p>
        </w:tc>
        <w:tc>
          <w:tcPr>
            <w:tcW w:w="972" w:type="dxa"/>
            <w:shd w:val="clear" w:color="auto" w:fill="auto"/>
            <w:noWrap/>
            <w:vAlign w:val="center"/>
          </w:tcPr>
          <w:p w14:paraId="03FE74E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56B79BA2">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新技术、新项目、创新技术分类申请，按先进性、风险等级、伦理风险、适用科室、拟开展人员、配套条件等多维度划分管理；提供常规、简易、快速三类审批流，支持节点自定义、并行会签、材料上传、过程留痕和准入结果归档。</w:t>
            </w:r>
          </w:p>
        </w:tc>
      </w:tr>
      <w:tr w14:paraId="6BFBB704">
        <w:trPr>
          <w:trHeight w:val="90" w:hRule="atLeast"/>
          <w:jc w:val="center"/>
        </w:trPr>
        <w:tc>
          <w:tcPr>
            <w:tcW w:w="774" w:type="dxa"/>
            <w:shd w:val="clear" w:color="auto" w:fill="auto"/>
            <w:noWrap/>
            <w:vAlign w:val="center"/>
          </w:tcPr>
          <w:p w14:paraId="06CA304D">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16</w:t>
            </w:r>
          </w:p>
        </w:tc>
        <w:tc>
          <w:tcPr>
            <w:tcW w:w="1253" w:type="dxa"/>
            <w:vMerge w:val="continue"/>
            <w:shd w:val="clear" w:color="auto" w:fill="auto"/>
            <w:noWrap/>
            <w:vAlign w:val="center"/>
          </w:tcPr>
          <w:p w14:paraId="202388B7">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2EBE9C59">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新技术评价与转常规</w:t>
            </w:r>
          </w:p>
        </w:tc>
        <w:tc>
          <w:tcPr>
            <w:tcW w:w="972" w:type="dxa"/>
            <w:shd w:val="clear" w:color="auto" w:fill="auto"/>
            <w:noWrap/>
            <w:vAlign w:val="center"/>
          </w:tcPr>
          <w:p w14:paraId="33EA33D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098B0377">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登记新技术临床应用过程数据，支持3/6/12月阶段性效果、安全性、开展例数、执行效率、质量评价、不良事件、人员资质匹配情况等综合评价；成熟技术支持按流程转入常规技术目录并开放医师授权申请，评价结果可与授权续期、暂停、调整及转常规管理挂钩。</w:t>
            </w:r>
          </w:p>
        </w:tc>
      </w:tr>
      <w:tr w14:paraId="4E3DC174">
        <w:trPr>
          <w:trHeight w:val="90" w:hRule="atLeast"/>
          <w:jc w:val="center"/>
        </w:trPr>
        <w:tc>
          <w:tcPr>
            <w:tcW w:w="774" w:type="dxa"/>
            <w:shd w:val="clear" w:color="auto" w:fill="auto"/>
            <w:noWrap/>
            <w:vAlign w:val="center"/>
          </w:tcPr>
          <w:p w14:paraId="0EEA7445">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17</w:t>
            </w:r>
          </w:p>
        </w:tc>
        <w:tc>
          <w:tcPr>
            <w:tcW w:w="1253" w:type="dxa"/>
            <w:vMerge w:val="restart"/>
            <w:shd w:val="clear" w:color="auto" w:fill="auto"/>
            <w:noWrap/>
            <w:vAlign w:val="center"/>
          </w:tcPr>
          <w:p w14:paraId="741EB1C8">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质量控制与督导</w:t>
            </w:r>
          </w:p>
        </w:tc>
        <w:tc>
          <w:tcPr>
            <w:tcW w:w="1215" w:type="dxa"/>
            <w:shd w:val="clear" w:color="auto" w:fill="auto"/>
            <w:noWrap/>
            <w:vAlign w:val="center"/>
          </w:tcPr>
          <w:p w14:paraId="50081BD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质量闭环与督导检查</w:t>
            </w:r>
          </w:p>
        </w:tc>
        <w:tc>
          <w:tcPr>
            <w:tcW w:w="972" w:type="dxa"/>
            <w:shd w:val="clear" w:color="auto" w:fill="auto"/>
            <w:noWrap/>
            <w:vAlign w:val="center"/>
          </w:tcPr>
          <w:p w14:paraId="50B3D6D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660F16A8">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医嘱执行、手术、检验检查、治疗和操作等业务闭环监控，实时追踪申请、审批、授权、执行、反馈、整改等环节状态并记录操作日志；支持医师手术/操作分级授权闭环管理，各环节状态可追溯；支持督查计划制定、问题登记、整改下发、佐证材料上传与效果追踪，符合智慧医院和等级评审相关要求。</w:t>
            </w:r>
          </w:p>
        </w:tc>
      </w:tr>
      <w:tr w14:paraId="6269563A">
        <w:trPr>
          <w:trHeight w:val="90" w:hRule="atLeast"/>
          <w:jc w:val="center"/>
        </w:trPr>
        <w:tc>
          <w:tcPr>
            <w:tcW w:w="774" w:type="dxa"/>
            <w:shd w:val="clear" w:color="auto" w:fill="auto"/>
            <w:noWrap/>
            <w:vAlign w:val="center"/>
          </w:tcPr>
          <w:p w14:paraId="43EF5E99">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18</w:t>
            </w:r>
          </w:p>
        </w:tc>
        <w:tc>
          <w:tcPr>
            <w:tcW w:w="1253" w:type="dxa"/>
            <w:vMerge w:val="continue"/>
            <w:shd w:val="clear" w:color="auto" w:fill="auto"/>
            <w:noWrap/>
            <w:vAlign w:val="center"/>
          </w:tcPr>
          <w:p w14:paraId="47124439">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0E54779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质量会议与考评管理</w:t>
            </w:r>
          </w:p>
        </w:tc>
        <w:tc>
          <w:tcPr>
            <w:tcW w:w="972" w:type="dxa"/>
            <w:shd w:val="clear" w:color="auto" w:fill="auto"/>
            <w:noWrap/>
            <w:vAlign w:val="center"/>
          </w:tcPr>
          <w:p w14:paraId="5424AF3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4C9119B1">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抢救、死亡、疑难、术前讨论等记录管理，支持整改单下发和整改跟踪；支持多维度考评计划制定（月、季、年），支持指标库配置、自评与科评结合，自动生成综合得分报告；考评结果可按医院制度与授权续期、暂停、调整、评优评先等管理场景关联。</w:t>
            </w:r>
          </w:p>
        </w:tc>
      </w:tr>
      <w:tr w14:paraId="24E9C13B">
        <w:trPr>
          <w:trHeight w:val="90" w:hRule="atLeast"/>
          <w:jc w:val="center"/>
        </w:trPr>
        <w:tc>
          <w:tcPr>
            <w:tcW w:w="774" w:type="dxa"/>
            <w:shd w:val="clear" w:color="auto" w:fill="auto"/>
            <w:noWrap/>
            <w:vAlign w:val="center"/>
          </w:tcPr>
          <w:p w14:paraId="798BC7D6">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19</w:t>
            </w:r>
          </w:p>
        </w:tc>
        <w:tc>
          <w:tcPr>
            <w:tcW w:w="1253" w:type="dxa"/>
            <w:vMerge w:val="continue"/>
            <w:shd w:val="clear" w:color="auto" w:fill="auto"/>
            <w:noWrap/>
            <w:vAlign w:val="center"/>
          </w:tcPr>
          <w:p w14:paraId="1B47C008">
            <w:pPr>
              <w:jc w:val="center"/>
              <w:rPr>
                <w:rFonts w:ascii="Times New Roman Regular" w:hAnsi="Times New Roman Regular" w:cs="Times New Roman Regular"/>
              </w:rPr>
            </w:pPr>
          </w:p>
        </w:tc>
        <w:tc>
          <w:tcPr>
            <w:tcW w:w="1215" w:type="dxa"/>
            <w:shd w:val="clear" w:color="auto" w:fill="auto"/>
            <w:noWrap/>
            <w:vAlign w:val="center"/>
          </w:tcPr>
          <w:p w14:paraId="7257DFE0">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行为加减分管理</w:t>
            </w:r>
          </w:p>
        </w:tc>
        <w:tc>
          <w:tcPr>
            <w:tcW w:w="972" w:type="dxa"/>
            <w:shd w:val="clear" w:color="auto" w:fill="auto"/>
            <w:noWrap/>
            <w:vAlign w:val="center"/>
          </w:tcPr>
          <w:p w14:paraId="46B7B9C7">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27B2E45C">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支持按人员类型与科室定制加减分规则；职能科室可在线登记日常行为表现，系统支持与授权续期、暂停、调整、评优评先及绩效管理等场景进行规则化关联，为管理决策提供数据参考。</w:t>
            </w:r>
          </w:p>
        </w:tc>
      </w:tr>
      <w:tr w14:paraId="550046D8">
        <w:trPr>
          <w:trHeight w:val="90" w:hRule="atLeast"/>
          <w:jc w:val="center"/>
        </w:trPr>
        <w:tc>
          <w:tcPr>
            <w:tcW w:w="774" w:type="dxa"/>
            <w:shd w:val="clear" w:color="auto" w:fill="auto"/>
            <w:noWrap/>
            <w:vAlign w:val="center"/>
          </w:tcPr>
          <w:p w14:paraId="0EDF9AC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20</w:t>
            </w:r>
          </w:p>
        </w:tc>
        <w:tc>
          <w:tcPr>
            <w:tcW w:w="1253" w:type="dxa"/>
            <w:shd w:val="clear" w:color="auto" w:fill="auto"/>
            <w:noWrap/>
            <w:vAlign w:val="center"/>
          </w:tcPr>
          <w:p w14:paraId="7972DA77">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医疗活动与会诊管理</w:t>
            </w:r>
          </w:p>
        </w:tc>
        <w:tc>
          <w:tcPr>
            <w:tcW w:w="1215" w:type="dxa"/>
            <w:shd w:val="clear" w:color="auto" w:fill="auto"/>
            <w:noWrap/>
            <w:vAlign w:val="center"/>
          </w:tcPr>
          <w:p w14:paraId="50D59DAD">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会诊与支农活动管理</w:t>
            </w:r>
          </w:p>
        </w:tc>
        <w:tc>
          <w:tcPr>
            <w:tcW w:w="972" w:type="dxa"/>
            <w:shd w:val="clear" w:color="auto" w:fill="auto"/>
            <w:noWrap/>
            <w:vAlign w:val="center"/>
          </w:tcPr>
          <w:p w14:paraId="2715968C">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68E198FB">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支持院内会诊、院外会诊、转诊申请、下乡支农、义诊讲座等医疗活动的申请、审批、状态追踪和工作量统计；相关活动记录可归入医务人员技术档案，作为人员能力评价和履职记录的参考依据。</w:t>
            </w:r>
          </w:p>
        </w:tc>
      </w:tr>
      <w:tr w14:paraId="0F825AE8">
        <w:trPr>
          <w:trHeight w:val="90" w:hRule="atLeast"/>
          <w:jc w:val="center"/>
        </w:trPr>
        <w:tc>
          <w:tcPr>
            <w:tcW w:w="774" w:type="dxa"/>
            <w:shd w:val="clear" w:color="auto" w:fill="auto"/>
            <w:noWrap/>
            <w:vAlign w:val="center"/>
          </w:tcPr>
          <w:p w14:paraId="2F5364F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21</w:t>
            </w:r>
          </w:p>
        </w:tc>
        <w:tc>
          <w:tcPr>
            <w:tcW w:w="1253" w:type="dxa"/>
            <w:vMerge w:val="restart"/>
            <w:shd w:val="clear" w:color="auto" w:fill="auto"/>
            <w:noWrap/>
            <w:vAlign w:val="center"/>
          </w:tcPr>
          <w:p w14:paraId="3ACABCD2">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统计分析与决策支持</w:t>
            </w:r>
          </w:p>
        </w:tc>
        <w:tc>
          <w:tcPr>
            <w:tcW w:w="1215" w:type="dxa"/>
            <w:shd w:val="clear" w:color="auto" w:fill="auto"/>
            <w:noWrap/>
            <w:vAlign w:val="center"/>
          </w:tcPr>
          <w:p w14:paraId="635AC8A5">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授权与业务统计分析</w:t>
            </w:r>
          </w:p>
        </w:tc>
        <w:tc>
          <w:tcPr>
            <w:tcW w:w="972" w:type="dxa"/>
            <w:shd w:val="clear" w:color="auto" w:fill="auto"/>
            <w:noWrap/>
            <w:vAlign w:val="center"/>
          </w:tcPr>
          <w:p w14:paraId="5C809108">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142B3F32">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按科室、时间、技术类型、人员类别统计授权数量、覆盖率、及时率和到期情况；支持手术、操作、检查、治疗等业务开展例数与授权人员匹配度分析；支持从业务执行数量、效率、质量、资质等维度进行客观评价，评价结果可与临床授权管理联动；支持Excel导出与多维筛选。</w:t>
            </w:r>
          </w:p>
        </w:tc>
      </w:tr>
      <w:tr w14:paraId="1825D6E4">
        <w:trPr>
          <w:trHeight w:val="90" w:hRule="atLeast"/>
          <w:jc w:val="center"/>
        </w:trPr>
        <w:tc>
          <w:tcPr>
            <w:tcW w:w="774" w:type="dxa"/>
            <w:shd w:val="clear" w:color="auto" w:fill="auto"/>
            <w:noWrap/>
            <w:vAlign w:val="center"/>
          </w:tcPr>
          <w:p w14:paraId="24B2F9BC">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22</w:t>
            </w:r>
          </w:p>
        </w:tc>
        <w:tc>
          <w:tcPr>
            <w:tcW w:w="1253" w:type="dxa"/>
            <w:vMerge w:val="continue"/>
            <w:shd w:val="clear" w:color="auto" w:fill="auto"/>
            <w:noWrap/>
            <w:vAlign w:val="center"/>
          </w:tcPr>
          <w:p w14:paraId="758C4DE5">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56954EB6">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权限落地效能分析</w:t>
            </w:r>
          </w:p>
        </w:tc>
        <w:tc>
          <w:tcPr>
            <w:tcW w:w="972" w:type="dxa"/>
            <w:shd w:val="clear" w:color="auto" w:fill="auto"/>
            <w:noWrap/>
            <w:vAlign w:val="center"/>
          </w:tcPr>
          <w:p w14:paraId="7C141231">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1F7F28AF">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采集各业务系统权限校验、提醒、拦截、放行等日志，统计授权规则执行情况、疑似越权发生情况、违规拦截情况和规则命中情况；生成授权规则落地执行报告，为权限动态优化、授权续期、暂停、调整和追溯审计提供数据支撑，满足电子病历评级和医院管理追溯要求。</w:t>
            </w:r>
          </w:p>
        </w:tc>
      </w:tr>
      <w:tr w14:paraId="77BE80F6">
        <w:trPr>
          <w:trHeight w:val="90" w:hRule="atLeast"/>
          <w:jc w:val="center"/>
        </w:trPr>
        <w:tc>
          <w:tcPr>
            <w:tcW w:w="774" w:type="dxa"/>
            <w:shd w:val="clear" w:color="auto" w:fill="auto"/>
            <w:noWrap/>
            <w:vAlign w:val="center"/>
          </w:tcPr>
          <w:p w14:paraId="6574AA91">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23</w:t>
            </w:r>
          </w:p>
        </w:tc>
        <w:tc>
          <w:tcPr>
            <w:tcW w:w="1253" w:type="dxa"/>
            <w:vMerge w:val="continue"/>
            <w:shd w:val="clear" w:color="auto" w:fill="auto"/>
            <w:noWrap/>
            <w:vAlign w:val="center"/>
          </w:tcPr>
          <w:p w14:paraId="6AE60AC7">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69DCF7ED">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BI自定义报表</w:t>
            </w:r>
          </w:p>
        </w:tc>
        <w:tc>
          <w:tcPr>
            <w:tcW w:w="972" w:type="dxa"/>
            <w:shd w:val="clear" w:color="auto" w:fill="auto"/>
            <w:noWrap/>
            <w:vAlign w:val="center"/>
          </w:tcPr>
          <w:p w14:paraId="78759584">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79791E84">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内置报表设计工具，业务人员可按授权范围自定义字段、筛选条件与分组维度；支持模板保存、共享、导出和权限控制；涉及定时推送功能的，应支持接收范围、脱敏规则和审批配置，确保数据安全。</w:t>
            </w:r>
          </w:p>
        </w:tc>
      </w:tr>
      <w:tr w14:paraId="023ABC56">
        <w:trPr>
          <w:trHeight w:val="90" w:hRule="atLeast"/>
          <w:jc w:val="center"/>
        </w:trPr>
        <w:tc>
          <w:tcPr>
            <w:tcW w:w="774" w:type="dxa"/>
            <w:shd w:val="clear" w:color="auto" w:fill="auto"/>
            <w:noWrap/>
            <w:vAlign w:val="center"/>
          </w:tcPr>
          <w:p w14:paraId="62DA1C4C">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24</w:t>
            </w:r>
          </w:p>
        </w:tc>
        <w:tc>
          <w:tcPr>
            <w:tcW w:w="1253" w:type="dxa"/>
            <w:vMerge w:val="continue"/>
            <w:shd w:val="clear" w:color="auto" w:fill="auto"/>
            <w:noWrap/>
            <w:vAlign w:val="center"/>
          </w:tcPr>
          <w:p w14:paraId="2EEAE496">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6821E363">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管理决策驾驶舱</w:t>
            </w:r>
          </w:p>
        </w:tc>
        <w:tc>
          <w:tcPr>
            <w:tcW w:w="972" w:type="dxa"/>
            <w:shd w:val="clear" w:color="auto" w:fill="auto"/>
            <w:noWrap/>
            <w:vAlign w:val="center"/>
          </w:tcPr>
          <w:p w14:paraId="0AE6C55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26F4CA72">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提供可视化数据看板，实时展示授权覆盖率、临期预警数、疑似违规拦截情况、授权变更趋势、新技术开展趋势、限制类技术监控指标、首次开展项目提醒、业务执行质量评价等核心指标；支持多维下钻、联动分析与移动端适配。</w:t>
            </w:r>
          </w:p>
        </w:tc>
      </w:tr>
      <w:tr w14:paraId="2C3F7082">
        <w:trPr>
          <w:trHeight w:val="90" w:hRule="atLeast"/>
          <w:jc w:val="center"/>
        </w:trPr>
        <w:tc>
          <w:tcPr>
            <w:tcW w:w="774" w:type="dxa"/>
            <w:shd w:val="clear" w:color="auto" w:fill="auto"/>
            <w:noWrap/>
            <w:vAlign w:val="center"/>
          </w:tcPr>
          <w:p w14:paraId="576DD57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25</w:t>
            </w:r>
          </w:p>
        </w:tc>
        <w:tc>
          <w:tcPr>
            <w:tcW w:w="1253" w:type="dxa"/>
            <w:vMerge w:val="restart"/>
            <w:shd w:val="clear" w:color="auto" w:fill="auto"/>
            <w:noWrap/>
            <w:vAlign w:val="center"/>
          </w:tcPr>
          <w:p w14:paraId="2B72BA6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系统架构服务与数据质量管理</w:t>
            </w:r>
          </w:p>
        </w:tc>
        <w:tc>
          <w:tcPr>
            <w:tcW w:w="1215" w:type="dxa"/>
            <w:shd w:val="clear" w:color="auto" w:fill="auto"/>
            <w:noWrap/>
            <w:vAlign w:val="center"/>
          </w:tcPr>
          <w:p w14:paraId="3567CF06">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总体架构与部署</w:t>
            </w:r>
          </w:p>
        </w:tc>
        <w:tc>
          <w:tcPr>
            <w:tcW w:w="972" w:type="dxa"/>
            <w:shd w:val="clear" w:color="auto" w:fill="auto"/>
            <w:noWrap/>
            <w:vAlign w:val="center"/>
          </w:tcPr>
          <w:p w14:paraId="456B0B3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5FD9B9AE">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采用B/S架构和模块化设计，支持传统部署、集群部署和分模块独立部署；支持院内私有化部署和统一管理；提供数据加密、访问控制、日志审计和备份恢复机制；支持适配医院现有信息化架构及主流国产化操作系统、数据库和中间件环境。</w:t>
            </w:r>
          </w:p>
        </w:tc>
      </w:tr>
      <w:tr w14:paraId="00FE2AB3">
        <w:trPr>
          <w:trHeight w:val="90" w:hRule="atLeast"/>
          <w:jc w:val="center"/>
        </w:trPr>
        <w:tc>
          <w:tcPr>
            <w:tcW w:w="774" w:type="dxa"/>
            <w:shd w:val="clear" w:color="auto" w:fill="auto"/>
            <w:noWrap/>
            <w:vAlign w:val="center"/>
          </w:tcPr>
          <w:p w14:paraId="6B1AC16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26</w:t>
            </w:r>
          </w:p>
        </w:tc>
        <w:tc>
          <w:tcPr>
            <w:tcW w:w="1253" w:type="dxa"/>
            <w:vMerge w:val="continue"/>
            <w:shd w:val="clear" w:color="auto" w:fill="auto"/>
            <w:noWrap/>
            <w:vAlign w:val="center"/>
          </w:tcPr>
          <w:p w14:paraId="35536D2C">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707EFB18">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自定义流程引擎</w:t>
            </w:r>
          </w:p>
        </w:tc>
        <w:tc>
          <w:tcPr>
            <w:tcW w:w="972" w:type="dxa"/>
            <w:shd w:val="clear" w:color="auto" w:fill="auto"/>
            <w:noWrap/>
            <w:vAlign w:val="center"/>
          </w:tcPr>
          <w:p w14:paraId="623DEABC">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5E576E23">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内置可视化表单与流程设计器，支持快速配置审批节点、路由规则、会签规则、表单字段和审批材料；支持流程版本控制、流程启停、回滚、超时自动催办、审批意见留痕和历史流程追溯。</w:t>
            </w:r>
          </w:p>
        </w:tc>
      </w:tr>
      <w:tr w14:paraId="1317FBCB">
        <w:trPr>
          <w:trHeight w:val="90" w:hRule="atLeast"/>
          <w:jc w:val="center"/>
        </w:trPr>
        <w:tc>
          <w:tcPr>
            <w:tcW w:w="774" w:type="dxa"/>
            <w:shd w:val="clear" w:color="auto" w:fill="auto"/>
            <w:noWrap/>
            <w:vAlign w:val="center"/>
          </w:tcPr>
          <w:p w14:paraId="350A7A30">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27</w:t>
            </w:r>
          </w:p>
        </w:tc>
        <w:tc>
          <w:tcPr>
            <w:tcW w:w="1253" w:type="dxa"/>
            <w:vMerge w:val="continue"/>
            <w:shd w:val="clear" w:color="auto" w:fill="auto"/>
            <w:noWrap/>
            <w:vAlign w:val="center"/>
          </w:tcPr>
          <w:p w14:paraId="10204EEB">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56DD681B">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核心系统对接集成</w:t>
            </w:r>
          </w:p>
        </w:tc>
        <w:tc>
          <w:tcPr>
            <w:tcW w:w="972" w:type="dxa"/>
            <w:shd w:val="clear" w:color="auto" w:fill="auto"/>
            <w:noWrap/>
            <w:vAlign w:val="center"/>
          </w:tcPr>
          <w:p w14:paraId="5D296F46">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46BB65FB">
            <w:pPr>
              <w:widowControl/>
              <w:jc w:val="both"/>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支持与医院现有HIS、EMR、手术麻醉、病案系统、集成平台等核心业务系统进行标准化对接，实现人员档案、执业范围、手术权限、处方权限、专项技术授权等信息的同步、查询、校验和日志追溯；</w:t>
            </w:r>
            <w:r>
              <w:rPr>
                <w:rFonts w:hint="eastAsia" w:ascii="Times New Roman Regular" w:hAnsi="Times New Roman Regular" w:eastAsia="宋体" w:cs="Times New Roman Regular"/>
                <w:color w:val="000000"/>
                <w:kern w:val="0"/>
                <w:sz w:val="24"/>
                <w:lang w:val="en-US" w:eastAsia="zh-CN" w:bidi="ar"/>
              </w:rPr>
              <w:t>支持以医务人员信息为查询字段，跨科室查询；</w:t>
            </w:r>
            <w:r>
              <w:rPr>
                <w:rFonts w:ascii="Times New Roman Regular" w:hAnsi="Times New Roman Regular" w:eastAsia="宋体" w:cs="Times New Roman Regular"/>
                <w:color w:val="000000"/>
                <w:kern w:val="0"/>
                <w:sz w:val="24"/>
                <w:lang w:bidi="ar"/>
              </w:rPr>
              <w:t>支持在医嘱、手术、检查、治疗、操作等业务环节进行授权状态校验，形成提醒、拦截、记录和追溯机制，能够识别并处理 ICD-10 诊断编码、ICD-9-CM-3 手术操作编码及医院院内编码之间的映射关系；支持接口日志监控、异常告警和对账处理。</w:t>
            </w:r>
            <w:r>
              <w:rPr>
                <w:rFonts w:ascii="Times New Roman Regular" w:hAnsi="Times New Roman Regular" w:eastAsia="宋体" w:cs="Times New Roman Regular"/>
                <w:kern w:val="0"/>
                <w:sz w:val="24"/>
                <w:lang w:bidi="ar"/>
              </w:rPr>
              <w:t>涉及医院现有第三方系统配合、接口开放、联调测试及必要改造的，投标人应作为本项目系统对接工作的牵头实施方，负责对接需求梳理、接口方案编制、厂商沟通协调、联调测试组织、问题跟踪处理及上线保障等工作；因本项目建设所需产生的接口开发、系统联调、适配改造及多厂商协同相关费用均应包含在投标报价中，医院不再另行支付</w:t>
            </w:r>
            <w:r>
              <w:rPr>
                <w:rFonts w:ascii="Times New Roman Regular" w:hAnsi="Times New Roman Regular" w:eastAsia="宋体" w:cs="Times New Roman Regular"/>
                <w:color w:val="000000"/>
                <w:kern w:val="0"/>
                <w:sz w:val="24"/>
                <w:lang w:bidi="ar"/>
              </w:rPr>
              <w:t>。</w:t>
            </w:r>
          </w:p>
        </w:tc>
      </w:tr>
      <w:tr w14:paraId="762E2091">
        <w:trPr>
          <w:trHeight w:val="90" w:hRule="atLeast"/>
          <w:jc w:val="center"/>
        </w:trPr>
        <w:tc>
          <w:tcPr>
            <w:tcW w:w="774" w:type="dxa"/>
            <w:shd w:val="clear" w:color="auto" w:fill="auto"/>
            <w:noWrap/>
            <w:vAlign w:val="center"/>
          </w:tcPr>
          <w:p w14:paraId="3CB546E8">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28</w:t>
            </w:r>
          </w:p>
        </w:tc>
        <w:tc>
          <w:tcPr>
            <w:tcW w:w="1253" w:type="dxa"/>
            <w:vMerge w:val="continue"/>
            <w:shd w:val="clear" w:color="auto" w:fill="auto"/>
            <w:noWrap/>
            <w:vAlign w:val="center"/>
          </w:tcPr>
          <w:p w14:paraId="132134B2">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660548A7">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性能与安全要求</w:t>
            </w:r>
          </w:p>
        </w:tc>
        <w:tc>
          <w:tcPr>
            <w:tcW w:w="972" w:type="dxa"/>
            <w:shd w:val="clear" w:color="auto" w:fill="auto"/>
            <w:noWrap/>
            <w:vAlign w:val="center"/>
          </w:tcPr>
          <w:p w14:paraId="28EE4575">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7C04987E">
            <w:pPr>
              <w:widowControl/>
              <w:jc w:val="both"/>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普通操作响应时间≤2秒，复杂查询响应时间≤5秒；支持不少于2000名医务人员档案及授权数据管理，系统并发访问能力满足医院业务高峰需要；支持7×24小时稳定运行，年累计非计划故障时间≤8小时；数据备份与灾难恢复符合等级保护三级相关要求；支持多级角色权限管控、数据加密存储、操作日志审计，日志保留期限≥6个月，</w:t>
            </w:r>
            <w:r>
              <w:rPr>
                <w:rFonts w:ascii="宋体" w:hAnsi="宋体" w:eastAsia="宋体" w:cs="宋体"/>
                <w:kern w:val="0"/>
                <w:sz w:val="24"/>
                <w:lang w:bidi="ar"/>
              </w:rPr>
              <w:t>支持SSO单点登录，并支持与医院现有CA认证、电子签名或统一身份认证平台对接，满足身份认证、电子签名、操作留痕和审计追溯要求</w:t>
            </w:r>
            <w:r>
              <w:rPr>
                <w:rFonts w:ascii="Times New Roman Regular" w:hAnsi="Times New Roman Regular" w:eastAsia="宋体" w:cs="Times New Roman Regular"/>
                <w:color w:val="000000"/>
                <w:kern w:val="0"/>
                <w:sz w:val="24"/>
                <w:lang w:bidi="ar"/>
              </w:rPr>
              <w:t>。</w:t>
            </w:r>
          </w:p>
        </w:tc>
      </w:tr>
      <w:tr w14:paraId="5A4EBF88">
        <w:trPr>
          <w:trHeight w:val="90" w:hRule="atLeast"/>
          <w:jc w:val="center"/>
        </w:trPr>
        <w:tc>
          <w:tcPr>
            <w:tcW w:w="774" w:type="dxa"/>
            <w:shd w:val="clear" w:color="auto" w:fill="auto"/>
            <w:noWrap/>
            <w:vAlign w:val="center"/>
          </w:tcPr>
          <w:p w14:paraId="0C650E6D">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29</w:t>
            </w:r>
          </w:p>
        </w:tc>
        <w:tc>
          <w:tcPr>
            <w:tcW w:w="1253" w:type="dxa"/>
            <w:vMerge w:val="continue"/>
            <w:shd w:val="clear" w:color="auto" w:fill="auto"/>
            <w:noWrap/>
            <w:vAlign w:val="center"/>
          </w:tcPr>
          <w:p w14:paraId="37AF99E0">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2B9FBFDF">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CA认证、电子签名及患者签名扩展对接</w:t>
            </w:r>
          </w:p>
        </w:tc>
        <w:tc>
          <w:tcPr>
            <w:tcW w:w="972" w:type="dxa"/>
            <w:shd w:val="clear" w:color="auto" w:fill="auto"/>
            <w:noWrap/>
            <w:vAlign w:val="center"/>
          </w:tcPr>
          <w:p w14:paraId="18074A8E">
            <w:pPr>
              <w:widowControl/>
              <w:jc w:val="center"/>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63B2534D">
            <w:pPr>
              <w:widowControl/>
              <w:jc w:val="both"/>
              <w:rPr>
                <w:rFonts w:ascii="Times New Roman Regular" w:hAnsi="Times New Roman Regular" w:eastAsia="宋体" w:cs="Times New Roman Regular"/>
                <w:color w:val="000000"/>
                <w:kern w:val="0"/>
                <w:sz w:val="24"/>
                <w:lang w:bidi="ar"/>
              </w:rPr>
            </w:pPr>
            <w:r>
              <w:rPr>
                <w:rFonts w:ascii="宋体" w:hAnsi="宋体" w:eastAsia="宋体" w:cs="宋体"/>
                <w:kern w:val="0"/>
                <w:sz w:val="24"/>
                <w:lang w:bidi="ar"/>
              </w:rPr>
              <w:t>系统应支持与医院现有CA认证、电子签名或统一身份认证平台对接，满足医生、护士等医务人员在资质准入、技术授权、审批确认、变更审核、归档确认</w:t>
            </w:r>
            <w:r>
              <w:rPr>
                <w:rFonts w:hint="eastAsia" w:ascii="宋体" w:hAnsi="宋体" w:eastAsia="宋体" w:cs="宋体"/>
                <w:kern w:val="0"/>
                <w:sz w:val="24"/>
                <w:lang w:bidi="ar"/>
              </w:rPr>
              <w:t xml:space="preserve"> </w:t>
            </w:r>
            <w:r>
              <w:rPr>
                <w:rFonts w:ascii="宋体" w:hAnsi="宋体" w:eastAsia="宋体" w:cs="宋体"/>
                <w:kern w:val="0"/>
                <w:sz w:val="24"/>
                <w:lang w:bidi="ar"/>
              </w:rPr>
              <w:t>等业务场景下的身份认证、电子签名、时间记录和操作留痕要求；系统应预留患者CA签名、电子知情同意及相关签署场景的扩展能力，支持后续按医院患者CA签名平台建设情况进行接口对接和流程适配；涉及电子签名的数据应能够与业务流程、审批记录、人员身份、时间节点关联保存，确保相关记录可追溯、可核验；本项目涉及与医院现有或后续建设的CA认证、电子签名、统一身份认证及患者CA签名平台对接的接口开发、联调测试、流程适配、问题整改及上线保障等相关费用，均应包含在投标报价中，医院不再另行支付。</w:t>
            </w:r>
          </w:p>
        </w:tc>
      </w:tr>
      <w:tr w14:paraId="7CAAE42C">
        <w:trPr>
          <w:trHeight w:val="90" w:hRule="atLeast"/>
          <w:jc w:val="center"/>
        </w:trPr>
        <w:tc>
          <w:tcPr>
            <w:tcW w:w="774" w:type="dxa"/>
            <w:shd w:val="clear" w:color="auto" w:fill="auto"/>
            <w:noWrap/>
            <w:vAlign w:val="center"/>
          </w:tcPr>
          <w:p w14:paraId="4CD021FA">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30</w:t>
            </w:r>
          </w:p>
        </w:tc>
        <w:tc>
          <w:tcPr>
            <w:tcW w:w="1253" w:type="dxa"/>
            <w:vMerge w:val="continue"/>
            <w:shd w:val="clear" w:color="auto" w:fill="auto"/>
            <w:noWrap/>
            <w:vAlign w:val="center"/>
          </w:tcPr>
          <w:p w14:paraId="181F1B77">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4557F360">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数据质量管理</w:t>
            </w:r>
          </w:p>
        </w:tc>
        <w:tc>
          <w:tcPr>
            <w:tcW w:w="972" w:type="dxa"/>
            <w:shd w:val="clear" w:color="auto" w:fill="auto"/>
            <w:noWrap/>
            <w:vAlign w:val="center"/>
          </w:tcPr>
          <w:p w14:paraId="18E5B362">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7A5F8D82">
            <w:pPr>
              <w:widowControl/>
              <w:jc w:val="both"/>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建立数据完整性、准确性、一致性核查体系，关键数据缺失率&lt;1%；统一数据字典，符合国家卫健委相关标准及医院现有数据规范；支持人员档案、执业范围、资质证书、岗位职责、业务授权、业务系统权限状态之间的一致性校验；医嘱状态同步&lt;3分钟，外部申请同步&lt;30分钟；内置数据质量监控看板与异常告警机制，支持问题数据闭环处理。</w:t>
            </w:r>
            <w:r>
              <w:rPr>
                <w:rFonts w:ascii="Times New Roman Regular" w:hAnsi="Times New Roman Regular" w:eastAsia="宋体" w:cs="Times New Roman Regular"/>
                <w:kern w:val="0"/>
                <w:sz w:val="24"/>
                <w:lang w:bidi="ar"/>
              </w:rPr>
              <w:t>支持对诊断编码、手术操作编码、诊疗项目编码、医师授权目录和业务系统实际使用编码进行一致性校验，发现不一致数据时支持预警、核查和闭环处理。</w:t>
            </w:r>
          </w:p>
        </w:tc>
      </w:tr>
      <w:tr w14:paraId="73154F85">
        <w:trPr>
          <w:trHeight w:val="90" w:hRule="atLeast"/>
          <w:jc w:val="center"/>
        </w:trPr>
        <w:tc>
          <w:tcPr>
            <w:tcW w:w="774" w:type="dxa"/>
            <w:shd w:val="clear" w:color="auto" w:fill="auto"/>
            <w:noWrap/>
            <w:vAlign w:val="center"/>
          </w:tcPr>
          <w:p w14:paraId="5ED1D7D5">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31</w:t>
            </w:r>
          </w:p>
        </w:tc>
        <w:tc>
          <w:tcPr>
            <w:tcW w:w="1253" w:type="dxa"/>
            <w:vMerge w:val="continue"/>
            <w:shd w:val="clear" w:color="auto" w:fill="auto"/>
            <w:noWrap/>
            <w:vAlign w:val="center"/>
          </w:tcPr>
          <w:p w14:paraId="31A9943F">
            <w:pPr>
              <w:jc w:val="center"/>
              <w:rPr>
                <w:rFonts w:ascii="Times New Roman Regular" w:hAnsi="Times New Roman Regular" w:eastAsia="宋体" w:cs="Times New Roman Regular"/>
                <w:color w:val="000000"/>
                <w:sz w:val="24"/>
              </w:rPr>
            </w:pPr>
          </w:p>
        </w:tc>
        <w:tc>
          <w:tcPr>
            <w:tcW w:w="1215" w:type="dxa"/>
            <w:shd w:val="clear" w:color="auto" w:fill="auto"/>
            <w:noWrap/>
            <w:vAlign w:val="center"/>
          </w:tcPr>
          <w:p w14:paraId="757D5E80">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基础配置与培训</w:t>
            </w:r>
          </w:p>
        </w:tc>
        <w:tc>
          <w:tcPr>
            <w:tcW w:w="972" w:type="dxa"/>
            <w:shd w:val="clear" w:color="auto" w:fill="auto"/>
            <w:noWrap/>
            <w:vAlign w:val="center"/>
          </w:tcPr>
          <w:p w14:paraId="1BFB504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2B83B0E3">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医院、科室、用户、角色、菜单权限、数据权限和审批权限灵活配置，支持多主题皮肤；系统界面符合医疗管理使用习惯，常用功能3次点击可达；支持PC端为主，兼顾平板、手机等终端的查询、审批和消息处理；提供完整操作手册、培训材料和视频教程，提供≥40小时管理员培训与≥20小时用户培训，含不少于1年免费维保。</w:t>
            </w:r>
          </w:p>
        </w:tc>
      </w:tr>
      <w:tr w14:paraId="39DE8BC6">
        <w:trPr>
          <w:trHeight w:val="90" w:hRule="atLeast"/>
          <w:jc w:val="center"/>
        </w:trPr>
        <w:tc>
          <w:tcPr>
            <w:tcW w:w="774" w:type="dxa"/>
            <w:shd w:val="clear" w:color="auto" w:fill="auto"/>
            <w:noWrap/>
            <w:vAlign w:val="center"/>
          </w:tcPr>
          <w:p w14:paraId="22F3594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3</w:t>
            </w:r>
            <w:r>
              <w:rPr>
                <w:rFonts w:hint="eastAsia" w:ascii="Times New Roman Regular" w:hAnsi="Times New Roman Regular" w:eastAsia="宋体" w:cs="Times New Roman Regular"/>
                <w:color w:val="000000"/>
                <w:kern w:val="0"/>
                <w:sz w:val="24"/>
                <w:lang w:bidi="ar"/>
              </w:rPr>
              <w:t>2</w:t>
            </w:r>
          </w:p>
        </w:tc>
        <w:tc>
          <w:tcPr>
            <w:tcW w:w="1253" w:type="dxa"/>
            <w:shd w:val="clear" w:color="auto" w:fill="auto"/>
            <w:noWrap/>
            <w:vAlign w:val="center"/>
          </w:tcPr>
          <w:p w14:paraId="668E704F">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移动应用与基础配置</w:t>
            </w:r>
          </w:p>
        </w:tc>
        <w:tc>
          <w:tcPr>
            <w:tcW w:w="1215" w:type="dxa"/>
            <w:shd w:val="clear" w:color="auto" w:fill="auto"/>
            <w:noWrap/>
            <w:vAlign w:val="center"/>
          </w:tcPr>
          <w:p w14:paraId="2356F01A">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消息通知</w:t>
            </w:r>
          </w:p>
        </w:tc>
        <w:tc>
          <w:tcPr>
            <w:tcW w:w="972" w:type="dxa"/>
            <w:shd w:val="clear" w:color="auto" w:fill="auto"/>
            <w:noWrap/>
            <w:vAlign w:val="center"/>
          </w:tcPr>
          <w:p w14:paraId="28AA80F0">
            <w:pPr>
              <w:widowControl/>
              <w:jc w:val="center"/>
              <w:textAlignment w:val="center"/>
              <w:rPr>
                <w:rFonts w:ascii="Times New Roman Regular" w:hAnsi="Times New Roman Regular" w:eastAsia="宋体" w:cs="Times New Roman Regular"/>
                <w:color w:val="000000"/>
                <w:sz w:val="24"/>
              </w:rPr>
            </w:pPr>
            <w:r>
              <w:rPr>
                <w:rFonts w:ascii="Times New Roman Regular" w:hAnsi="Times New Roman Regular" w:eastAsia="宋体" w:cs="Times New Roman Regular"/>
                <w:color w:val="000000"/>
                <w:kern w:val="0"/>
                <w:sz w:val="24"/>
                <w:lang w:bidi="ar"/>
              </w:rPr>
              <w:t>-</w:t>
            </w:r>
          </w:p>
        </w:tc>
        <w:tc>
          <w:tcPr>
            <w:tcW w:w="4883" w:type="dxa"/>
            <w:shd w:val="clear" w:color="auto" w:fill="auto"/>
            <w:noWrap/>
            <w:vAlign w:val="center"/>
          </w:tcPr>
          <w:p w14:paraId="6E96A0BC">
            <w:pPr>
              <w:widowControl/>
              <w:textAlignment w:val="center"/>
              <w:rPr>
                <w:rFonts w:ascii="Times New Roman Regular" w:hAnsi="Times New Roman Regular" w:eastAsia="宋体" w:cs="Times New Roman Regular"/>
                <w:color w:val="000000"/>
                <w:kern w:val="0"/>
                <w:sz w:val="24"/>
                <w:lang w:bidi="ar"/>
              </w:rPr>
            </w:pPr>
            <w:r>
              <w:rPr>
                <w:rFonts w:ascii="Times New Roman Regular" w:hAnsi="Times New Roman Regular" w:eastAsia="宋体" w:cs="Times New Roman Regular"/>
                <w:color w:val="000000"/>
                <w:kern w:val="0"/>
                <w:sz w:val="24"/>
                <w:lang w:bidi="ar"/>
              </w:rPr>
              <w:t>支持系统内消息通知、待办提醒、到期预警、异常校验、整改任务和统计提醒；登录后实时显示未读数，支持按待办、预警、通知等类型分类展示及优先级排序；点击消息可跳转至对应业务详情，并根据用户角色和数据权限控制可见范围；支持向申请人、审批人、科室管理员、医务、药学、护理、医技等相关人员或管理部门推送授权申请、审批待办、到期预警、异常校验、整改任务和统计提醒。系统可根据医院企业微信、OA或现有办公平台开放接口条件，扩展消息推送、待办提醒和业务跳转能力。</w:t>
            </w:r>
          </w:p>
        </w:tc>
      </w:tr>
    </w:tbl>
    <w:p w14:paraId="65F7B650">
      <w:pPr>
        <w:spacing w:line="360" w:lineRule="auto"/>
        <w:rPr>
          <w:rFonts w:eastAsia="楷体"/>
          <w:b/>
          <w:bCs/>
          <w:sz w:val="28"/>
          <w:szCs w:val="28"/>
        </w:rPr>
      </w:pPr>
    </w:p>
    <w:p w14:paraId="7165AD92">
      <w:pPr>
        <w:spacing w:line="360" w:lineRule="auto"/>
        <w:rPr>
          <w:rFonts w:eastAsia="楷体"/>
          <w:b/>
          <w:bCs/>
          <w:sz w:val="28"/>
          <w:szCs w:val="28"/>
        </w:rPr>
      </w:pPr>
      <w:r>
        <w:rPr>
          <w:rFonts w:eastAsia="楷体"/>
          <w:b/>
          <w:bCs/>
          <w:sz w:val="28"/>
          <w:szCs w:val="28"/>
        </w:rPr>
        <w:t>2、系统和数据要求</w:t>
      </w:r>
    </w:p>
    <w:p w14:paraId="4685B62C">
      <w:pPr>
        <w:numPr>
          <w:ilvl w:val="0"/>
          <w:numId w:val="4"/>
        </w:numPr>
        <w:spacing w:line="360" w:lineRule="auto"/>
        <w:rPr>
          <w:rFonts w:eastAsia="FangSong"/>
          <w:b/>
          <w:bCs/>
          <w:sz w:val="24"/>
        </w:rPr>
      </w:pPr>
      <w:r>
        <w:rPr>
          <w:rFonts w:eastAsia="FangSong"/>
          <w:b/>
          <w:bCs/>
          <w:sz w:val="24"/>
        </w:rPr>
        <w:t>数据接口要求</w:t>
      </w:r>
    </w:p>
    <w:p w14:paraId="4B72FAC6">
      <w:pPr>
        <w:widowControl/>
        <w:spacing w:line="360" w:lineRule="auto"/>
        <w:rPr>
          <w:rFonts w:eastAsia="FangSong"/>
          <w:kern w:val="0"/>
          <w:sz w:val="24"/>
        </w:rPr>
      </w:pPr>
      <w:r>
        <w:rPr>
          <w:kern w:val="0"/>
          <w:sz w:val="24"/>
        </w:rPr>
        <w:t>①</w:t>
      </w:r>
      <w:r>
        <w:rPr>
          <w:rFonts w:eastAsia="FangSong"/>
          <w:kern w:val="0"/>
          <w:sz w:val="24"/>
        </w:rPr>
        <w:t>可以方便地对数据库进行各种操作，可以处理各种报表，可以直接与SQL Server、MySQL、Oracle等大型数据库连接；</w:t>
      </w:r>
    </w:p>
    <w:p w14:paraId="4D1291AC">
      <w:pPr>
        <w:widowControl/>
        <w:spacing w:line="360" w:lineRule="auto"/>
        <w:rPr>
          <w:rFonts w:eastAsia="FangSong"/>
          <w:kern w:val="0"/>
          <w:sz w:val="24"/>
        </w:rPr>
      </w:pPr>
      <w:r>
        <w:rPr>
          <w:kern w:val="0"/>
          <w:sz w:val="24"/>
        </w:rPr>
        <w:t>②</w:t>
      </w:r>
      <w:r>
        <w:rPr>
          <w:rFonts w:eastAsia="FangSong"/>
          <w:kern w:val="0"/>
          <w:sz w:val="24"/>
        </w:rPr>
        <w:t>能与</w:t>
      </w:r>
      <w:r>
        <w:rPr>
          <w:rFonts w:hint="eastAsia" w:eastAsia="FangSong"/>
          <w:kern w:val="0"/>
          <w:sz w:val="24"/>
        </w:rPr>
        <w:t>医院数据平台、</w:t>
      </w:r>
      <w:r>
        <w:rPr>
          <w:rFonts w:hint="eastAsia" w:eastAsia="FangSong"/>
          <w:kern w:val="0"/>
          <w:sz w:val="24"/>
          <w:lang w:eastAsia="zh-CN"/>
        </w:rPr>
        <w:t>HIS、EMR、LIS、SPD、PACS</w:t>
      </w:r>
      <w:r>
        <w:rPr>
          <w:rFonts w:hint="eastAsia" w:eastAsia="FangSong"/>
          <w:kern w:val="0"/>
          <w:sz w:val="24"/>
        </w:rPr>
        <w:t>、护理文书、互联网医院医等业务</w:t>
      </w:r>
      <w:r>
        <w:rPr>
          <w:rFonts w:eastAsia="FangSong"/>
          <w:kern w:val="0"/>
          <w:sz w:val="24"/>
        </w:rPr>
        <w:t>系统的数据对接；且各业务系统因系统对接产生的改造费用均包含在本项目内；</w:t>
      </w:r>
    </w:p>
    <w:p w14:paraId="670106DD">
      <w:pPr>
        <w:widowControl/>
        <w:spacing w:line="360" w:lineRule="auto"/>
        <w:rPr>
          <w:rFonts w:eastAsia="FangSong"/>
          <w:kern w:val="0"/>
          <w:sz w:val="24"/>
        </w:rPr>
      </w:pPr>
      <w:r>
        <w:rPr>
          <w:kern w:val="0"/>
          <w:sz w:val="24"/>
        </w:rPr>
        <w:t>③</w:t>
      </w:r>
      <w:r>
        <w:rPr>
          <w:rFonts w:eastAsia="FangSong"/>
          <w:kern w:val="0"/>
          <w:sz w:val="24"/>
        </w:rPr>
        <w:t>能对医院各系统对接数据格式进行转换；</w:t>
      </w:r>
    </w:p>
    <w:p w14:paraId="5E1EDCD5">
      <w:pPr>
        <w:numPr>
          <w:ilvl w:val="0"/>
          <w:numId w:val="4"/>
        </w:numPr>
        <w:spacing w:line="360" w:lineRule="auto"/>
        <w:rPr>
          <w:rFonts w:eastAsia="FangSong"/>
          <w:b/>
          <w:bCs/>
          <w:sz w:val="24"/>
        </w:rPr>
      </w:pPr>
      <w:r>
        <w:rPr>
          <w:rFonts w:eastAsia="FangSong"/>
          <w:b/>
          <w:bCs/>
          <w:sz w:val="24"/>
        </w:rPr>
        <w:t>系统性能要求</w:t>
      </w:r>
    </w:p>
    <w:p w14:paraId="45AFC980">
      <w:pPr>
        <w:widowControl/>
        <w:spacing w:line="360" w:lineRule="auto"/>
        <w:ind w:firstLine="480" w:firstLineChars="200"/>
        <w:rPr>
          <w:rFonts w:hint="eastAsia" w:eastAsia="FangSong"/>
          <w:kern w:val="0"/>
          <w:sz w:val="24"/>
        </w:rPr>
      </w:pPr>
      <w:r>
        <w:rPr>
          <w:rFonts w:hint="eastAsia" w:eastAsia="FangSong"/>
          <w:kern w:val="0"/>
          <w:sz w:val="24"/>
        </w:rPr>
        <w:t>普通操作响应时间≤2秒，复杂查询响应时间≤5秒；支持不少于2000名医务人员档案及授权数据管理，系统并发访问能力满足医院业务高峰需要；支持7×24小时稳定运行，年累计非计划故障时间≤8小时；数据备份与灾难恢复符合等级保护三级相关要求；支持多级角色权限管控、数据加密存储、操作日志审计，日志保留期限≥6个月，支持SSO单点登录与CA认证或医院现有认证体系对接。</w:t>
      </w:r>
    </w:p>
    <w:p w14:paraId="2B6B26B3">
      <w:pPr>
        <w:numPr>
          <w:ilvl w:val="0"/>
          <w:numId w:val="4"/>
        </w:numPr>
        <w:spacing w:line="360" w:lineRule="auto"/>
        <w:rPr>
          <w:rFonts w:hint="eastAsia" w:eastAsia="FangSong"/>
          <w:b/>
          <w:bCs/>
          <w:sz w:val="24"/>
        </w:rPr>
      </w:pPr>
      <w:r>
        <w:rPr>
          <w:rFonts w:hint="eastAsia" w:eastAsia="FangSong"/>
          <w:b/>
          <w:bCs/>
          <w:sz w:val="24"/>
        </w:rPr>
        <w:t>系统安全要求和拓展性</w:t>
      </w:r>
    </w:p>
    <w:p w14:paraId="7880DC65">
      <w:pPr>
        <w:widowControl/>
        <w:spacing w:line="360" w:lineRule="auto"/>
        <w:rPr>
          <w:rFonts w:eastAsia="FangSong"/>
          <w:kern w:val="0"/>
          <w:sz w:val="24"/>
        </w:rPr>
      </w:pPr>
      <w:bookmarkStart w:id="1" w:name="_GoBack"/>
      <w:r>
        <w:rPr>
          <w:kern w:val="0"/>
          <w:sz w:val="24"/>
        </w:rPr>
        <w:t>①</w:t>
      </w:r>
      <w:r>
        <w:rPr>
          <w:rFonts w:eastAsia="FangSong"/>
          <w:kern w:val="0"/>
          <w:sz w:val="24"/>
        </w:rPr>
        <w:t>保证数据的安全性、数据的完整性、并发控制以及数据库恢复等。</w:t>
      </w:r>
    </w:p>
    <w:p w14:paraId="6A45835A">
      <w:pPr>
        <w:widowControl/>
        <w:spacing w:line="360" w:lineRule="auto"/>
        <w:rPr>
          <w:sz w:val="24"/>
        </w:rPr>
      </w:pPr>
      <w:r>
        <w:rPr>
          <w:kern w:val="0"/>
          <w:sz w:val="24"/>
        </w:rPr>
        <w:t>②</w:t>
      </w:r>
      <w:r>
        <w:rPr>
          <w:rFonts w:eastAsia="FangSong"/>
          <w:kern w:val="0"/>
          <w:sz w:val="24"/>
        </w:rPr>
        <w:t>支持多数据源数据整理及运用，包括文件数据来源，用户数据来源及系统数据来源整理和运用。</w:t>
      </w:r>
    </w:p>
    <w:p w14:paraId="6A359F21">
      <w:pPr>
        <w:widowControl/>
        <w:spacing w:line="360" w:lineRule="auto"/>
        <w:rPr>
          <w:rFonts w:eastAsia="FangSong"/>
          <w:kern w:val="0"/>
          <w:sz w:val="24"/>
        </w:rPr>
      </w:pPr>
      <w:r>
        <w:rPr>
          <w:kern w:val="0"/>
          <w:sz w:val="24"/>
        </w:rPr>
        <w:t>③</w:t>
      </w:r>
      <w:r>
        <w:rPr>
          <w:rFonts w:eastAsia="FangSong"/>
          <w:kern w:val="0"/>
          <w:sz w:val="24"/>
        </w:rPr>
        <w:t>系统应保持良好的扩展性，有利于逐步升级。</w:t>
      </w:r>
    </w:p>
    <w:p w14:paraId="314CFC0B">
      <w:pPr>
        <w:widowControl/>
        <w:spacing w:line="360" w:lineRule="auto"/>
        <w:rPr>
          <w:rFonts w:eastAsia="FangSong"/>
          <w:kern w:val="0"/>
          <w:sz w:val="24"/>
        </w:rPr>
      </w:pPr>
      <w:r>
        <w:rPr>
          <w:kern w:val="0"/>
          <w:sz w:val="24"/>
        </w:rPr>
        <w:t>④</w:t>
      </w:r>
      <w:r>
        <w:rPr>
          <w:rFonts w:eastAsia="FangSong"/>
          <w:kern w:val="0"/>
          <w:sz w:val="24"/>
        </w:rPr>
        <w:t>系统安全等级必须符合国家信息安全等级保护三级认证。</w:t>
      </w:r>
    </w:p>
    <w:p w14:paraId="3F30FAFE">
      <w:pPr>
        <w:widowControl/>
        <w:spacing w:line="360" w:lineRule="auto"/>
        <w:rPr>
          <w:rFonts w:hint="default" w:ascii="Times New Roman" w:hAnsi="Times New Roman" w:eastAsia="仿宋" w:cs="Times New Roman"/>
          <w:kern w:val="0"/>
          <w:sz w:val="24"/>
          <w:lang w:val="en-US" w:eastAsia="zh-CN"/>
        </w:rPr>
      </w:pPr>
      <w:r>
        <w:rPr>
          <w:rFonts w:hint="eastAsia" w:ascii="Times New Roman" w:hAnsi="Times New Roman" w:eastAsia="仿宋" w:cs="Times New Roman"/>
          <w:kern w:val="0"/>
          <w:sz w:val="24"/>
          <w:lang w:val="en-US" w:eastAsia="zh-CN"/>
        </w:rPr>
        <w:t>⑤支持信创的免费升级和改造</w:t>
      </w:r>
    </w:p>
    <w:bookmarkEnd w:id="1"/>
    <w:p w14:paraId="609C6D1F">
      <w:pPr>
        <w:widowControl/>
        <w:spacing w:line="360" w:lineRule="auto"/>
        <w:rPr>
          <w:rFonts w:eastAsia="FangSong"/>
          <w:kern w:val="0"/>
          <w:sz w:val="24"/>
        </w:rPr>
      </w:pPr>
    </w:p>
    <w:p w14:paraId="3685FFAE">
      <w:pPr>
        <w:pStyle w:val="2"/>
        <w:rPr>
          <w:rFonts w:eastAsia="黑体"/>
          <w:sz w:val="28"/>
          <w:szCs w:val="28"/>
        </w:rPr>
      </w:pPr>
      <w:r>
        <w:rPr>
          <w:rFonts w:eastAsia="黑体"/>
          <w:sz w:val="28"/>
          <w:szCs w:val="28"/>
        </w:rPr>
        <w:t>五、商务和服务需求</w:t>
      </w:r>
    </w:p>
    <w:tbl>
      <w:tblPr>
        <w:tblStyle w:val="10"/>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701"/>
        <w:gridCol w:w="5937"/>
      </w:tblGrid>
      <w:tr w14:paraId="34135316">
        <w:trPr>
          <w:trHeight w:val="520" w:hRule="atLeast"/>
          <w:jc w:val="center"/>
        </w:trPr>
        <w:tc>
          <w:tcPr>
            <w:tcW w:w="750" w:type="dxa"/>
            <w:vAlign w:val="center"/>
          </w:tcPr>
          <w:p w14:paraId="30899B1B">
            <w:pPr>
              <w:autoSpaceDE w:val="0"/>
              <w:autoSpaceDN w:val="0"/>
              <w:adjustRightInd w:val="0"/>
              <w:snapToGrid w:val="0"/>
              <w:jc w:val="center"/>
              <w:rPr>
                <w:rFonts w:eastAsia="FangSong"/>
                <w:b/>
                <w:bCs/>
                <w:snapToGrid w:val="0"/>
                <w:kern w:val="0"/>
                <w:szCs w:val="21"/>
                <w:lang w:val="zh-CN"/>
              </w:rPr>
            </w:pPr>
            <w:r>
              <w:rPr>
                <w:rFonts w:hint="eastAsia" w:eastAsia="FangSong"/>
                <w:b/>
                <w:bCs/>
                <w:snapToGrid w:val="0"/>
                <w:kern w:val="0"/>
                <w:szCs w:val="21"/>
                <w:lang w:val="zh-CN"/>
              </w:rPr>
              <w:t>序号</w:t>
            </w:r>
          </w:p>
        </w:tc>
        <w:tc>
          <w:tcPr>
            <w:tcW w:w="1701" w:type="dxa"/>
            <w:vAlign w:val="center"/>
          </w:tcPr>
          <w:p w14:paraId="68D6D96D">
            <w:pPr>
              <w:autoSpaceDE w:val="0"/>
              <w:autoSpaceDN w:val="0"/>
              <w:adjustRightInd w:val="0"/>
              <w:snapToGrid w:val="0"/>
              <w:jc w:val="center"/>
              <w:rPr>
                <w:rFonts w:eastAsia="FangSong"/>
                <w:b/>
                <w:bCs/>
                <w:snapToGrid w:val="0"/>
                <w:kern w:val="0"/>
                <w:szCs w:val="21"/>
                <w:lang w:val="zh-CN"/>
              </w:rPr>
            </w:pPr>
            <w:r>
              <w:rPr>
                <w:rFonts w:hint="eastAsia" w:eastAsia="FangSong"/>
                <w:b/>
                <w:bCs/>
                <w:snapToGrid w:val="0"/>
                <w:kern w:val="0"/>
                <w:szCs w:val="21"/>
                <w:lang w:val="zh-CN"/>
              </w:rPr>
              <w:t>商务和服务项目</w:t>
            </w:r>
          </w:p>
        </w:tc>
        <w:tc>
          <w:tcPr>
            <w:tcW w:w="5937" w:type="dxa"/>
            <w:vAlign w:val="center"/>
          </w:tcPr>
          <w:p w14:paraId="777E1B43">
            <w:pPr>
              <w:autoSpaceDE w:val="0"/>
              <w:autoSpaceDN w:val="0"/>
              <w:adjustRightInd w:val="0"/>
              <w:snapToGrid w:val="0"/>
              <w:jc w:val="center"/>
              <w:rPr>
                <w:rFonts w:eastAsia="FangSong"/>
                <w:b/>
                <w:bCs/>
                <w:snapToGrid w:val="0"/>
                <w:kern w:val="0"/>
                <w:szCs w:val="21"/>
                <w:lang w:val="zh-CN"/>
              </w:rPr>
            </w:pPr>
            <w:r>
              <w:rPr>
                <w:rFonts w:hint="eastAsia" w:eastAsia="FangSong"/>
                <w:b/>
                <w:bCs/>
                <w:snapToGrid w:val="0"/>
                <w:kern w:val="0"/>
                <w:szCs w:val="21"/>
                <w:lang w:val="zh-CN"/>
              </w:rPr>
              <w:t>商务和服务要求</w:t>
            </w:r>
          </w:p>
        </w:tc>
      </w:tr>
      <w:tr w14:paraId="2718DEE7">
        <w:trPr>
          <w:trHeight w:val="501" w:hRule="atLeast"/>
          <w:jc w:val="center"/>
        </w:trPr>
        <w:tc>
          <w:tcPr>
            <w:tcW w:w="750" w:type="dxa"/>
            <w:vAlign w:val="center"/>
          </w:tcPr>
          <w:p w14:paraId="04F84038">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1</w:t>
            </w:r>
          </w:p>
        </w:tc>
        <w:tc>
          <w:tcPr>
            <w:tcW w:w="1701" w:type="dxa"/>
            <w:vAlign w:val="center"/>
          </w:tcPr>
          <w:p w14:paraId="033AB1D0">
            <w:pPr>
              <w:autoSpaceDE w:val="0"/>
              <w:autoSpaceDN w:val="0"/>
              <w:adjustRightInd w:val="0"/>
              <w:snapToGrid w:val="0"/>
              <w:spacing w:line="360" w:lineRule="auto"/>
              <w:jc w:val="center"/>
              <w:rPr>
                <w:rFonts w:eastAsia="FangSong"/>
                <w:snapToGrid w:val="0"/>
                <w:kern w:val="0"/>
                <w:szCs w:val="21"/>
              </w:rPr>
            </w:pPr>
            <w:r>
              <w:rPr>
                <w:rFonts w:hint="eastAsia" w:eastAsia="FangSong"/>
                <w:snapToGrid w:val="0"/>
                <w:kern w:val="0"/>
                <w:szCs w:val="21"/>
              </w:rPr>
              <w:t>项目工期</w:t>
            </w:r>
          </w:p>
        </w:tc>
        <w:tc>
          <w:tcPr>
            <w:tcW w:w="5937" w:type="dxa"/>
            <w:vAlign w:val="center"/>
          </w:tcPr>
          <w:p w14:paraId="1769E95D">
            <w:pPr>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本项目实施工期</w:t>
            </w:r>
            <w:r>
              <w:rPr>
                <w:rFonts w:hint="eastAsia" w:eastAsia="FangSong"/>
                <w:snapToGrid w:val="0"/>
                <w:kern w:val="0"/>
                <w:szCs w:val="21"/>
                <w:lang w:val="en-US" w:eastAsia="zh-CN"/>
              </w:rPr>
              <w:t>24</w:t>
            </w:r>
            <w:r>
              <w:rPr>
                <w:rFonts w:hint="eastAsia" w:eastAsia="FangSong"/>
                <w:snapToGrid w:val="0"/>
                <w:kern w:val="0"/>
                <w:szCs w:val="21"/>
              </w:rPr>
              <w:t>个月，项目上线后，</w:t>
            </w:r>
            <w:r>
              <w:rPr>
                <w:rFonts w:eastAsia="FangSong"/>
                <w:kern w:val="0"/>
                <w:szCs w:val="21"/>
              </w:rPr>
              <w:t>必须确保</w:t>
            </w:r>
            <w:r>
              <w:rPr>
                <w:rFonts w:hint="eastAsia" w:eastAsia="FangSong"/>
                <w:kern w:val="0"/>
                <w:szCs w:val="21"/>
                <w:lang w:eastAsia="zh-CN"/>
              </w:rPr>
              <w:t>医师技术档案</w:t>
            </w:r>
            <w:r>
              <w:rPr>
                <w:rFonts w:eastAsia="FangSong"/>
                <w:kern w:val="0"/>
                <w:szCs w:val="21"/>
              </w:rPr>
              <w:t>功能稳定运行，并实现与医院数据平台、</w:t>
            </w:r>
            <w:r>
              <w:rPr>
                <w:rFonts w:hint="eastAsia" w:eastAsia="FangSong"/>
                <w:kern w:val="0"/>
                <w:szCs w:val="21"/>
                <w:lang w:eastAsia="zh-CN"/>
              </w:rPr>
              <w:t>HIS、EMR、LIS、SPD、PACS</w:t>
            </w:r>
            <w:r>
              <w:rPr>
                <w:rFonts w:eastAsia="FangSong"/>
                <w:kern w:val="0"/>
                <w:szCs w:val="21"/>
              </w:rPr>
              <w:t>、护理文书、互联网医院医等系统的数据对接</w:t>
            </w:r>
            <w:r>
              <w:rPr>
                <w:rFonts w:hint="eastAsia" w:eastAsia="FangSong"/>
                <w:snapToGrid w:val="0"/>
                <w:kern w:val="0"/>
                <w:szCs w:val="21"/>
              </w:rPr>
              <w:t>；且各业务系统因系统对接产生的双方的改造费用均包含在本项目内。</w:t>
            </w:r>
          </w:p>
        </w:tc>
      </w:tr>
      <w:tr w14:paraId="23AEE90C">
        <w:trPr>
          <w:trHeight w:val="488" w:hRule="atLeast"/>
          <w:jc w:val="center"/>
        </w:trPr>
        <w:tc>
          <w:tcPr>
            <w:tcW w:w="750" w:type="dxa"/>
            <w:vAlign w:val="center"/>
          </w:tcPr>
          <w:p w14:paraId="08ED7FC6">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2</w:t>
            </w:r>
          </w:p>
        </w:tc>
        <w:tc>
          <w:tcPr>
            <w:tcW w:w="1701" w:type="dxa"/>
            <w:vAlign w:val="center"/>
          </w:tcPr>
          <w:p w14:paraId="157865D9">
            <w:pPr>
              <w:autoSpaceDE w:val="0"/>
              <w:autoSpaceDN w:val="0"/>
              <w:adjustRightInd w:val="0"/>
              <w:snapToGrid w:val="0"/>
              <w:jc w:val="center"/>
              <w:rPr>
                <w:rFonts w:eastAsia="FangSong"/>
                <w:snapToGrid w:val="0"/>
                <w:kern w:val="0"/>
                <w:szCs w:val="21"/>
              </w:rPr>
            </w:pPr>
            <w:r>
              <w:rPr>
                <w:rFonts w:hint="eastAsia" w:eastAsia="FangSong"/>
                <w:snapToGrid w:val="0"/>
                <w:kern w:val="0"/>
                <w:szCs w:val="21"/>
              </w:rPr>
              <w:t>免费</w:t>
            </w:r>
            <w:r>
              <w:rPr>
                <w:rFonts w:hint="eastAsia" w:eastAsia="FangSong"/>
                <w:snapToGrid w:val="0"/>
                <w:kern w:val="0"/>
                <w:szCs w:val="21"/>
                <w:lang w:val="zh-CN"/>
              </w:rPr>
              <w:t>质保</w:t>
            </w:r>
            <w:r>
              <w:rPr>
                <w:rFonts w:hint="eastAsia" w:eastAsia="FangSong"/>
                <w:snapToGrid w:val="0"/>
                <w:kern w:val="0"/>
                <w:szCs w:val="21"/>
              </w:rPr>
              <w:t>期</w:t>
            </w:r>
          </w:p>
        </w:tc>
        <w:tc>
          <w:tcPr>
            <w:tcW w:w="5937" w:type="dxa"/>
            <w:vAlign w:val="center"/>
          </w:tcPr>
          <w:p w14:paraId="4836D1DC">
            <w:pPr>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项目验收合格后算起，至少提供一年的免费质保。</w:t>
            </w:r>
          </w:p>
        </w:tc>
      </w:tr>
      <w:tr w14:paraId="3FAEC0D2">
        <w:trPr>
          <w:jc w:val="center"/>
        </w:trPr>
        <w:tc>
          <w:tcPr>
            <w:tcW w:w="750" w:type="dxa"/>
            <w:vAlign w:val="center"/>
          </w:tcPr>
          <w:p w14:paraId="45A28638">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3</w:t>
            </w:r>
          </w:p>
        </w:tc>
        <w:tc>
          <w:tcPr>
            <w:tcW w:w="1701" w:type="dxa"/>
            <w:vAlign w:val="center"/>
          </w:tcPr>
          <w:p w14:paraId="61CC5F90">
            <w:pPr>
              <w:widowControl/>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售后服务</w:t>
            </w:r>
            <w:r>
              <w:rPr>
                <w:rFonts w:hint="eastAsia" w:eastAsia="FangSong"/>
                <w:snapToGrid w:val="0"/>
                <w:kern w:val="0"/>
                <w:szCs w:val="21"/>
              </w:rPr>
              <w:t>要求</w:t>
            </w:r>
          </w:p>
        </w:tc>
        <w:tc>
          <w:tcPr>
            <w:tcW w:w="5937" w:type="dxa"/>
            <w:vAlign w:val="center"/>
          </w:tcPr>
          <w:p w14:paraId="316C5000">
            <w:pPr>
              <w:numPr>
                <w:ilvl w:val="0"/>
                <w:numId w:val="5"/>
              </w:numPr>
              <w:spacing w:line="360" w:lineRule="auto"/>
              <w:rPr>
                <w:rFonts w:eastAsia="FangSong"/>
                <w:b/>
                <w:bCs/>
                <w:szCs w:val="21"/>
              </w:rPr>
            </w:pPr>
            <w:r>
              <w:rPr>
                <w:rFonts w:hint="eastAsia" w:eastAsia="FangSong"/>
                <w:b/>
                <w:bCs/>
                <w:szCs w:val="21"/>
              </w:rPr>
              <w:t>售后服务期限</w:t>
            </w:r>
          </w:p>
          <w:p w14:paraId="37B122DE">
            <w:pPr>
              <w:pStyle w:val="7"/>
              <w:spacing w:line="360" w:lineRule="auto"/>
              <w:ind w:firstLine="420" w:firstLineChars="200"/>
              <w:jc w:val="both"/>
              <w:rPr>
                <w:rFonts w:eastAsia="FangSong"/>
                <w:snapToGrid w:val="0"/>
                <w:kern w:val="0"/>
                <w:sz w:val="21"/>
                <w:szCs w:val="21"/>
              </w:rPr>
            </w:pPr>
            <w:r>
              <w:rPr>
                <w:rFonts w:hint="eastAsia" w:eastAsia="FangSong"/>
                <w:snapToGrid w:val="0"/>
                <w:kern w:val="0"/>
                <w:sz w:val="21"/>
                <w:szCs w:val="21"/>
              </w:rPr>
              <w:t>本项目免费质保期至少为1年，自项目上线后，必须确保</w:t>
            </w:r>
            <w:r>
              <w:rPr>
                <w:rFonts w:hint="eastAsia" w:eastAsia="FangSong"/>
                <w:snapToGrid w:val="0"/>
                <w:kern w:val="0"/>
                <w:sz w:val="21"/>
                <w:szCs w:val="21"/>
                <w:lang w:eastAsia="zh-CN"/>
              </w:rPr>
              <w:t>医师技术档案</w:t>
            </w:r>
            <w:r>
              <w:rPr>
                <w:rFonts w:hint="eastAsia" w:eastAsia="FangSong"/>
                <w:snapToGrid w:val="0"/>
                <w:kern w:val="0"/>
                <w:sz w:val="21"/>
                <w:szCs w:val="21"/>
              </w:rPr>
              <w:t>功能稳定运行，并完成与各系统的数据对接等，并实现与HIS系统的数据对接等。</w:t>
            </w:r>
          </w:p>
          <w:p w14:paraId="433748BF">
            <w:pPr>
              <w:numPr>
                <w:ilvl w:val="0"/>
                <w:numId w:val="5"/>
              </w:numPr>
              <w:spacing w:line="360" w:lineRule="auto"/>
              <w:rPr>
                <w:rFonts w:eastAsia="FangSong"/>
                <w:b/>
                <w:bCs/>
                <w:szCs w:val="21"/>
              </w:rPr>
            </w:pPr>
            <w:r>
              <w:rPr>
                <w:rFonts w:hint="eastAsia" w:eastAsia="FangSong"/>
                <w:b/>
                <w:bCs/>
                <w:szCs w:val="21"/>
              </w:rPr>
              <w:t>售后服务范围</w:t>
            </w:r>
          </w:p>
          <w:p w14:paraId="13A577C1">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①</w:t>
            </w:r>
            <w:r>
              <w:rPr>
                <w:rFonts w:hint="eastAsia" w:eastAsia="FangSong"/>
                <w:snapToGrid w:val="0"/>
                <w:kern w:val="0"/>
                <w:sz w:val="21"/>
                <w:szCs w:val="21"/>
              </w:rPr>
              <w:t>如国家相关政策作出调整时，系统应做出相应调整服务。</w:t>
            </w:r>
          </w:p>
          <w:p w14:paraId="3837B3CD">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②</w:t>
            </w:r>
            <w:r>
              <w:rPr>
                <w:rFonts w:hint="eastAsia" w:eastAsia="FangSong"/>
                <w:snapToGrid w:val="0"/>
                <w:kern w:val="0"/>
                <w:sz w:val="21"/>
                <w:szCs w:val="21"/>
              </w:rPr>
              <w:t>如平台各系统进行升级需免费对我院产品进行升级及相关培训。</w:t>
            </w:r>
          </w:p>
          <w:p w14:paraId="42F475E4">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③</w:t>
            </w:r>
            <w:r>
              <w:rPr>
                <w:rFonts w:hint="eastAsia" w:eastAsia="FangSong"/>
                <w:snapToGrid w:val="0"/>
                <w:kern w:val="0"/>
                <w:sz w:val="21"/>
                <w:szCs w:val="21"/>
              </w:rPr>
              <w:t>每季度对数据库优化调校，确保数据来源正确。</w:t>
            </w:r>
          </w:p>
          <w:p w14:paraId="05E9BC51">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④</w:t>
            </w:r>
            <w:r>
              <w:rPr>
                <w:rFonts w:hint="eastAsia" w:eastAsia="FangSong"/>
                <w:snapToGrid w:val="0"/>
                <w:kern w:val="0"/>
                <w:sz w:val="21"/>
                <w:szCs w:val="21"/>
              </w:rPr>
              <w:t>每季度对系统进行例行更新和效能调整，确保系统运行速度。</w:t>
            </w:r>
          </w:p>
          <w:p w14:paraId="246B6430">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⑤</w:t>
            </w:r>
            <w:r>
              <w:rPr>
                <w:rFonts w:hint="eastAsia" w:eastAsia="FangSong"/>
                <w:snapToGrid w:val="0"/>
                <w:kern w:val="0"/>
                <w:sz w:val="21"/>
                <w:szCs w:val="21"/>
              </w:rPr>
              <w:t>系统操作如有疑问，提供电话技术支持及远端遥控支持。</w:t>
            </w:r>
          </w:p>
          <w:p w14:paraId="0425E679">
            <w:pPr>
              <w:pStyle w:val="7"/>
              <w:spacing w:line="360" w:lineRule="auto"/>
              <w:ind w:firstLine="420" w:firstLineChars="200"/>
              <w:jc w:val="both"/>
              <w:rPr>
                <w:rFonts w:eastAsia="FangSong"/>
                <w:snapToGrid w:val="0"/>
                <w:kern w:val="0"/>
                <w:sz w:val="21"/>
                <w:szCs w:val="21"/>
              </w:rPr>
            </w:pPr>
            <w:r>
              <w:rPr>
                <w:rFonts w:hint="eastAsia"/>
                <w:snapToGrid w:val="0"/>
                <w:kern w:val="0"/>
                <w:sz w:val="21"/>
                <w:szCs w:val="21"/>
              </w:rPr>
              <w:t>⑥</w:t>
            </w:r>
            <w:r>
              <w:rPr>
                <w:rFonts w:hint="eastAsia" w:eastAsia="FangSong"/>
                <w:snapToGrid w:val="0"/>
                <w:kern w:val="0"/>
                <w:sz w:val="21"/>
                <w:szCs w:val="21"/>
              </w:rPr>
              <w:t>系统如发生问题，首先采用电话技术支持或远端遥控支持。提供7x24小时电话支持和微信支持服务。项目建设及售后服务期间，若因中标方的责任出现系统故障，中标公司应在接到报修或维护的通知后立即处理，并承诺在2小时内响应，4小时内恢复，如不能远程处理的缺陷或障碍，软件工程师应在48小时内到达现场并进行修复。逾期，双方协商后可委托第三方进行修复，由此产生的相关费用由中标方全部承担。</w:t>
            </w:r>
          </w:p>
        </w:tc>
      </w:tr>
      <w:tr w14:paraId="3389E2AE">
        <w:trPr>
          <w:jc w:val="center"/>
        </w:trPr>
        <w:tc>
          <w:tcPr>
            <w:tcW w:w="750" w:type="dxa"/>
            <w:vAlign w:val="center"/>
          </w:tcPr>
          <w:p w14:paraId="500876DE">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4</w:t>
            </w:r>
          </w:p>
        </w:tc>
        <w:tc>
          <w:tcPr>
            <w:tcW w:w="1701" w:type="dxa"/>
            <w:vAlign w:val="center"/>
          </w:tcPr>
          <w:p w14:paraId="711AA4C7">
            <w:pPr>
              <w:widowControl/>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服务标准</w:t>
            </w:r>
          </w:p>
        </w:tc>
        <w:tc>
          <w:tcPr>
            <w:tcW w:w="5937" w:type="dxa"/>
            <w:vAlign w:val="center"/>
          </w:tcPr>
          <w:p w14:paraId="309612DB">
            <w:pPr>
              <w:widowControl/>
              <w:autoSpaceDE w:val="0"/>
              <w:autoSpaceDN w:val="0"/>
              <w:adjustRightInd w:val="0"/>
              <w:snapToGrid w:val="0"/>
              <w:spacing w:before="156" w:beforeLines="50" w:line="360" w:lineRule="auto"/>
              <w:rPr>
                <w:rFonts w:eastAsia="FangSong"/>
                <w:szCs w:val="21"/>
              </w:rPr>
            </w:pPr>
            <w:r>
              <w:rPr>
                <w:rFonts w:hint="eastAsia" w:eastAsia="FangSong"/>
                <w:szCs w:val="21"/>
              </w:rPr>
              <w:t>本项目至少配置</w:t>
            </w:r>
            <w:r>
              <w:rPr>
                <w:rFonts w:hint="eastAsia" w:eastAsia="FangSong"/>
                <w:szCs w:val="21"/>
                <w:lang w:val="en-US" w:eastAsia="zh-CN"/>
              </w:rPr>
              <w:t>8</w:t>
            </w:r>
            <w:r>
              <w:rPr>
                <w:rFonts w:hint="eastAsia" w:eastAsia="FangSong"/>
                <w:szCs w:val="21"/>
              </w:rPr>
              <w:t>位人员，包括2位业务咨询、</w:t>
            </w:r>
            <w:r>
              <w:rPr>
                <w:rFonts w:hint="eastAsia" w:eastAsia="FangSong"/>
                <w:szCs w:val="21"/>
                <w:lang w:val="en-US" w:eastAsia="zh-CN"/>
              </w:rPr>
              <w:t>2</w:t>
            </w:r>
            <w:r>
              <w:rPr>
                <w:rFonts w:hint="eastAsia" w:eastAsia="FangSong"/>
                <w:szCs w:val="21"/>
              </w:rPr>
              <w:t>位开发人员、</w:t>
            </w:r>
            <w:r>
              <w:rPr>
                <w:rFonts w:hint="eastAsia" w:eastAsia="FangSong"/>
                <w:szCs w:val="21"/>
                <w:lang w:val="en-US" w:eastAsia="zh-CN"/>
              </w:rPr>
              <w:t>2</w:t>
            </w:r>
            <w:r>
              <w:rPr>
                <w:rFonts w:hint="eastAsia" w:eastAsia="FangSong"/>
                <w:szCs w:val="21"/>
              </w:rPr>
              <w:t>位现场实施、2位售后服务。</w:t>
            </w:r>
          </w:p>
        </w:tc>
      </w:tr>
      <w:tr w14:paraId="67ADF9AC">
        <w:trPr>
          <w:jc w:val="center"/>
        </w:trPr>
        <w:tc>
          <w:tcPr>
            <w:tcW w:w="750" w:type="dxa"/>
            <w:vAlign w:val="center"/>
          </w:tcPr>
          <w:p w14:paraId="4A9FB034">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5</w:t>
            </w:r>
          </w:p>
        </w:tc>
        <w:tc>
          <w:tcPr>
            <w:tcW w:w="1701" w:type="dxa"/>
            <w:vAlign w:val="center"/>
          </w:tcPr>
          <w:p w14:paraId="37552079">
            <w:pPr>
              <w:widowControl/>
              <w:autoSpaceDE w:val="0"/>
              <w:autoSpaceDN w:val="0"/>
              <w:adjustRightInd w:val="0"/>
              <w:snapToGrid w:val="0"/>
              <w:jc w:val="center"/>
              <w:rPr>
                <w:rFonts w:eastAsia="FangSong"/>
                <w:snapToGrid w:val="0"/>
                <w:kern w:val="0"/>
                <w:szCs w:val="21"/>
                <w:lang w:val="zh-CN"/>
              </w:rPr>
            </w:pPr>
            <w:r>
              <w:rPr>
                <w:rFonts w:hint="eastAsia" w:eastAsia="FangSong"/>
                <w:snapToGrid w:val="0"/>
                <w:kern w:val="0"/>
                <w:szCs w:val="21"/>
                <w:lang w:val="zh-CN"/>
              </w:rPr>
              <w:t>培训</w:t>
            </w:r>
          </w:p>
        </w:tc>
        <w:tc>
          <w:tcPr>
            <w:tcW w:w="5937" w:type="dxa"/>
            <w:vAlign w:val="center"/>
          </w:tcPr>
          <w:p w14:paraId="2BF1DCF6">
            <w:pPr>
              <w:widowControl/>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中标方需负责我院临床科室和医务处在使用系统各个功能模块的培训及答疑，培训可通过线上/线下/操作手册/操作视频等形式开展；同时需负责我院临床科室和医务处办公室负责人员在使用系统各个功能模块的培训及答疑，培训可通过线上/线下/操作手册/操作视频等形式开展。如系统进行更新或升级，中标方需负责针对更新内容进行相应的培训。</w:t>
            </w:r>
          </w:p>
        </w:tc>
      </w:tr>
      <w:tr w14:paraId="0F626D32">
        <w:trPr>
          <w:jc w:val="center"/>
        </w:trPr>
        <w:tc>
          <w:tcPr>
            <w:tcW w:w="750" w:type="dxa"/>
            <w:vAlign w:val="center"/>
          </w:tcPr>
          <w:p w14:paraId="3E8A8978">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6</w:t>
            </w:r>
          </w:p>
        </w:tc>
        <w:tc>
          <w:tcPr>
            <w:tcW w:w="1701" w:type="dxa"/>
            <w:vAlign w:val="center"/>
          </w:tcPr>
          <w:p w14:paraId="7E465383">
            <w:pPr>
              <w:widowControl/>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验收标准</w:t>
            </w:r>
          </w:p>
        </w:tc>
        <w:tc>
          <w:tcPr>
            <w:tcW w:w="5937" w:type="dxa"/>
            <w:vAlign w:val="center"/>
          </w:tcPr>
          <w:p w14:paraId="22FC5D99">
            <w:pPr>
              <w:widowControl/>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自项目上线后，必须确保</w:t>
            </w:r>
            <w:r>
              <w:rPr>
                <w:rFonts w:hint="eastAsia" w:eastAsia="FangSong"/>
                <w:snapToGrid w:val="0"/>
                <w:kern w:val="0"/>
                <w:szCs w:val="21"/>
                <w:lang w:eastAsia="zh-CN"/>
              </w:rPr>
              <w:t>医师技术档案</w:t>
            </w:r>
            <w:r>
              <w:rPr>
                <w:rFonts w:hint="eastAsia" w:eastAsia="FangSong"/>
                <w:snapToGrid w:val="0"/>
                <w:kern w:val="0"/>
                <w:szCs w:val="21"/>
              </w:rPr>
              <w:t>功能稳定运行，并完成与医院数据平台、</w:t>
            </w:r>
            <w:r>
              <w:rPr>
                <w:rFonts w:hint="eastAsia" w:eastAsia="FangSong"/>
                <w:snapToGrid w:val="0"/>
                <w:kern w:val="0"/>
                <w:szCs w:val="21"/>
                <w:lang w:eastAsia="zh-CN"/>
              </w:rPr>
              <w:t>HIS、EMR、LIS、SPD、PACS</w:t>
            </w:r>
            <w:r>
              <w:rPr>
                <w:rFonts w:hint="eastAsia" w:eastAsia="FangSong"/>
                <w:snapToGrid w:val="0"/>
                <w:kern w:val="0"/>
                <w:szCs w:val="21"/>
              </w:rPr>
              <w:t>、护理文书、互联网医院医等业务系统的数据对接，即视为验收合格。</w:t>
            </w:r>
          </w:p>
        </w:tc>
      </w:tr>
      <w:tr w14:paraId="184709B8">
        <w:trPr>
          <w:jc w:val="center"/>
        </w:trPr>
        <w:tc>
          <w:tcPr>
            <w:tcW w:w="750" w:type="dxa"/>
            <w:vAlign w:val="center"/>
          </w:tcPr>
          <w:p w14:paraId="3B854098">
            <w:pPr>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7</w:t>
            </w:r>
          </w:p>
        </w:tc>
        <w:tc>
          <w:tcPr>
            <w:tcW w:w="1701" w:type="dxa"/>
            <w:vAlign w:val="center"/>
          </w:tcPr>
          <w:p w14:paraId="19827D4C">
            <w:pPr>
              <w:widowControl/>
              <w:autoSpaceDE w:val="0"/>
              <w:autoSpaceDN w:val="0"/>
              <w:adjustRightInd w:val="0"/>
              <w:snapToGrid w:val="0"/>
              <w:spacing w:line="360" w:lineRule="auto"/>
              <w:jc w:val="center"/>
              <w:rPr>
                <w:rFonts w:eastAsia="FangSong"/>
                <w:snapToGrid w:val="0"/>
                <w:kern w:val="0"/>
                <w:szCs w:val="21"/>
                <w:lang w:val="zh-CN"/>
              </w:rPr>
            </w:pPr>
            <w:r>
              <w:rPr>
                <w:rFonts w:hint="eastAsia" w:eastAsia="FangSong"/>
                <w:snapToGrid w:val="0"/>
                <w:kern w:val="0"/>
                <w:szCs w:val="21"/>
                <w:lang w:val="zh-CN"/>
              </w:rPr>
              <w:t>付款方式</w:t>
            </w:r>
          </w:p>
        </w:tc>
        <w:tc>
          <w:tcPr>
            <w:tcW w:w="5937" w:type="dxa"/>
            <w:vAlign w:val="center"/>
          </w:tcPr>
          <w:p w14:paraId="25586B85">
            <w:pPr>
              <w:widowControl/>
              <w:autoSpaceDE w:val="0"/>
              <w:autoSpaceDN w:val="0"/>
              <w:adjustRightInd w:val="0"/>
              <w:snapToGrid w:val="0"/>
              <w:spacing w:before="156" w:beforeLines="50" w:line="360" w:lineRule="auto"/>
              <w:rPr>
                <w:rFonts w:eastAsia="FangSong"/>
                <w:snapToGrid w:val="0"/>
                <w:kern w:val="0"/>
                <w:szCs w:val="21"/>
              </w:rPr>
            </w:pPr>
            <w:r>
              <w:rPr>
                <w:rFonts w:hint="eastAsia" w:eastAsia="FangSong"/>
                <w:snapToGrid w:val="0"/>
                <w:kern w:val="0"/>
                <w:szCs w:val="21"/>
              </w:rPr>
              <w:t>（1）项目上线稳定运行后，经过上线科室确认后的3个月内，支付项目合同款的30%。</w:t>
            </w:r>
          </w:p>
          <w:p w14:paraId="0FF599A5">
            <w:pPr>
              <w:widowControl/>
              <w:autoSpaceDE w:val="0"/>
              <w:autoSpaceDN w:val="0"/>
              <w:adjustRightInd w:val="0"/>
              <w:snapToGrid w:val="0"/>
              <w:spacing w:line="360" w:lineRule="auto"/>
              <w:rPr>
                <w:rFonts w:eastAsia="FangSong"/>
                <w:snapToGrid w:val="0"/>
                <w:kern w:val="0"/>
                <w:szCs w:val="21"/>
              </w:rPr>
            </w:pPr>
            <w:r>
              <w:rPr>
                <w:rFonts w:hint="eastAsia" w:eastAsia="FangSong"/>
                <w:snapToGrid w:val="0"/>
                <w:kern w:val="0"/>
                <w:szCs w:val="21"/>
              </w:rPr>
              <w:t>（2）项目验收合格后的3个月内，支付项目合同款的50%。</w:t>
            </w:r>
          </w:p>
          <w:p w14:paraId="7EE9576F">
            <w:pPr>
              <w:widowControl/>
              <w:autoSpaceDE w:val="0"/>
              <w:autoSpaceDN w:val="0"/>
              <w:adjustRightInd w:val="0"/>
              <w:snapToGrid w:val="0"/>
              <w:spacing w:line="360" w:lineRule="auto"/>
            </w:pPr>
            <w:r>
              <w:rPr>
                <w:rFonts w:hint="eastAsia" w:eastAsia="FangSong"/>
                <w:snapToGrid w:val="0"/>
                <w:kern w:val="0"/>
                <w:szCs w:val="21"/>
              </w:rPr>
              <w:t>（3）项目质保期到期后的3个月内，支付项目合同款的20%。</w:t>
            </w:r>
          </w:p>
        </w:tc>
      </w:tr>
    </w:tbl>
    <w:p w14:paraId="5824E2FA">
      <w:pPr>
        <w:pStyle w:val="2"/>
        <w:rPr>
          <w:rFonts w:eastAsia="黑体"/>
          <w:sz w:val="28"/>
          <w:szCs w:val="28"/>
        </w:rPr>
      </w:pPr>
      <w:r>
        <w:rPr>
          <w:rFonts w:eastAsia="黑体"/>
          <w:sz w:val="28"/>
          <w:szCs w:val="28"/>
        </w:rPr>
        <w:t>六、特定资格条件</w:t>
      </w:r>
    </w:p>
    <w:p w14:paraId="40430E27">
      <w:pPr>
        <w:spacing w:line="360" w:lineRule="auto"/>
        <w:ind w:firstLine="495"/>
        <w:jc w:val="left"/>
        <w:rPr>
          <w:rFonts w:eastAsia="FangSong"/>
          <w:sz w:val="24"/>
        </w:rPr>
      </w:pPr>
      <w:r>
        <w:rPr>
          <w:rFonts w:eastAsia="FangSong"/>
          <w:sz w:val="24"/>
        </w:rPr>
        <w:t>除《中华人民共和国政府采购法》第二十二条规定的供应商应具备的条件外，采购人可以根据采购项目的特殊要求，规定供应商的特定资格条件，如国家或行业强制性标准等。但不得以不合理的条件对供应商实行差别待遇或者歧视待遇。</w:t>
      </w:r>
    </w:p>
    <w:p w14:paraId="2306D56A">
      <w:pPr>
        <w:spacing w:line="360" w:lineRule="auto"/>
        <w:ind w:right="600" w:firstLine="4200" w:firstLineChars="1750"/>
        <w:rPr>
          <w:rFonts w:eastAsia="FangSong"/>
          <w:sz w:val="24"/>
        </w:rPr>
      </w:pPr>
    </w:p>
    <w:p w14:paraId="26F1DED3">
      <w:pPr>
        <w:spacing w:line="360" w:lineRule="auto"/>
        <w:ind w:right="600" w:firstLine="4200" w:firstLineChars="1750"/>
        <w:rPr>
          <w:rFonts w:eastAsia="FangSong"/>
          <w:sz w:val="24"/>
        </w:rPr>
      </w:pPr>
      <w:r>
        <w:rPr>
          <w:rFonts w:eastAsia="FangSong"/>
          <w:sz w:val="24"/>
        </w:rPr>
        <w:t>申购单位（公章）：</w:t>
      </w:r>
    </w:p>
    <w:p w14:paraId="24D037B6">
      <w:pPr>
        <w:spacing w:line="360" w:lineRule="auto"/>
        <w:ind w:right="600"/>
        <w:jc w:val="center"/>
        <w:rPr>
          <w:rFonts w:eastAsia="FangSong"/>
          <w:sz w:val="24"/>
        </w:rPr>
      </w:pPr>
      <w:r>
        <w:rPr>
          <w:rFonts w:eastAsia="FangSong"/>
          <w:sz w:val="24"/>
        </w:rPr>
        <w:t xml:space="preserve">                    或项目负责人（签字）：</w:t>
      </w:r>
    </w:p>
    <w:p w14:paraId="6531FE0C">
      <w:pPr>
        <w:spacing w:line="360" w:lineRule="auto"/>
        <w:ind w:firstLine="495"/>
        <w:jc w:val="center"/>
        <w:rPr>
          <w:rFonts w:eastAsia="FangSong"/>
          <w:sz w:val="24"/>
        </w:rPr>
      </w:pPr>
      <w:r>
        <w:rPr>
          <w:rFonts w:eastAsia="FangSong"/>
          <w:sz w:val="24"/>
        </w:rPr>
        <w:t xml:space="preserve">                     </w:t>
      </w:r>
    </w:p>
    <w:p w14:paraId="390A9BAF">
      <w:pPr>
        <w:wordWrap w:val="0"/>
        <w:spacing w:line="360" w:lineRule="auto"/>
        <w:ind w:firstLine="495"/>
        <w:jc w:val="right"/>
        <w:rPr>
          <w:rFonts w:eastAsia="FangSong"/>
          <w:sz w:val="24"/>
        </w:rPr>
      </w:pPr>
      <w:r>
        <w:rPr>
          <w:rFonts w:eastAsia="FangSong"/>
          <w:sz w:val="24"/>
          <w:u w:val="single"/>
        </w:rPr>
        <w:t xml:space="preserve">        </w:t>
      </w:r>
      <w:r>
        <w:rPr>
          <w:rFonts w:eastAsia="FangSong"/>
          <w:sz w:val="24"/>
        </w:rPr>
        <w:t>年</w:t>
      </w:r>
      <w:r>
        <w:rPr>
          <w:rFonts w:eastAsia="FangSong"/>
          <w:sz w:val="24"/>
          <w:u w:val="single"/>
        </w:rPr>
        <w:t xml:space="preserve">    </w:t>
      </w:r>
      <w:r>
        <w:rPr>
          <w:rFonts w:eastAsia="FangSong"/>
          <w:sz w:val="24"/>
        </w:rPr>
        <w:t>月</w:t>
      </w:r>
      <w:r>
        <w:rPr>
          <w:rFonts w:eastAsia="FangSong"/>
          <w:sz w:val="24"/>
          <w:u w:val="single"/>
        </w:rPr>
        <w:t xml:space="preserve">    </w:t>
      </w:r>
      <w:r>
        <w:rPr>
          <w:rFonts w:eastAsia="FangSong"/>
          <w:sz w:val="24"/>
        </w:rPr>
        <w:t>日</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FangSong">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Segoe UI Symbol">
    <w:altName w:val="苹方-简"/>
    <w:panose1 w:val="020B0502040204020203"/>
    <w:charset w:val="00"/>
    <w:family w:val="swiss"/>
    <w:pitch w:val="default"/>
    <w:sig w:usb0="00000000" w:usb1="00000000" w:usb2="00040000" w:usb3="00000000" w:csb0="00000001" w:csb1="00000000"/>
  </w:font>
  <w:font w:name="苹方-简">
    <w:altName w:val="冬青黑体简体中文"/>
    <w:panose1 w:val="020B0400000000000000"/>
    <w:charset w:val="86"/>
    <w:family w:val="auto"/>
    <w:pitch w:val="default"/>
    <w:sig w:usb0="00000000" w:usb1="00000000" w:usb2="00000017" w:usb3="00000000" w:csb0="00040001" w:csb1="00000000"/>
  </w:font>
  <w:font w:name="Times New Roman Regular">
    <w:panose1 w:val="02020603050405020304"/>
    <w:charset w:val="00"/>
    <w:family w:val="auto"/>
    <w:pitch w:val="default"/>
    <w:sig w:usb0="E0002AEF" w:usb1="C0007841" w:usb2="00000009" w:usb3="00000000" w:csb0="400001FF" w:csb1="FFFF0000"/>
  </w:font>
  <w:font w:name="宋体-简">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decorative"/>
    <w:pitch w:val="default"/>
    <w:sig w:usb0="00000000" w:usb1="0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 w:name="苹方-简">
    <w:altName w:val="Times New Roman"/>
    <w:panose1 w:val="020B0600000000000000"/>
    <w:charset w:val="00"/>
    <w:family w:val="auto"/>
    <w:pitch w:val="default"/>
    <w:sig w:usb0="A00002FF" w:usb1="7ACFFDFB" w:usb2="00000017" w:usb3="00000000" w:csb0="00040001" w:csb1="00000000"/>
  </w:font>
  <w:font w:name="FangSong">
    <w:altName w:val="方正仿宋_GBK"/>
    <w:panose1 w:val="00000000000000000000"/>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A00002BF" w:usb1="1ACF7CFA" w:usb2="00000016" w:usb3="00000000" w:csb0="00060007"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08309">
    <w:pPr>
      <w:pStyle w:val="7"/>
    </w:pPr>
    <w:r>
      <mc:AlternateContent>
        <mc:Choice Requires="wps">
          <w:drawing>
            <wp:anchor distT="0" distB="0" distL="114300" distR="114300" simplePos="0" relativeHeight="251659264" behindDoc="0" locked="0" layoutInCell="1" allowOverlap="1">
              <wp:simplePos x="0" y="0"/>
              <wp:positionH relativeFrom="margin">
                <wp:posOffset>2609850</wp:posOffset>
              </wp:positionH>
              <wp:positionV relativeFrom="paragraph">
                <wp:posOffset>3810</wp:posOffset>
              </wp:positionV>
              <wp:extent cx="180975" cy="1905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0975"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CAF60">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5.5pt;margin-top:0.3pt;height:15pt;width:14.25pt;mso-position-horizontal-relative:margin;z-index:251659264;mso-width-relative:page;mso-height-relative:page;" filled="f" stroked="f" coordsize="21600,21600" o:gfxdata="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rOQPx1gAAAAcBAAAPAAAAAAAAAAEAIAAAACIAAABkcnMvZG93bnJldi54bWxQSwEC&#10;FAAUAAAACACHTuJANQE+6C8CAABVBAAADgAAAAAAAAABACAAAAAlAQAAZHJzL2Uyb0RvYy54bWxQ&#10;SwUGAAAAAAYABgBZAQAAxgUAAAAA&#10;">
              <v:fill on="f" focussize="0,0"/>
              <v:stroke on="f" weight="0.5pt"/>
              <v:imagedata o:title=""/>
              <o:lock v:ext="edit" aspectratio="f"/>
              <v:textbox inset="0mm,0mm,0mm,0mm">
                <w:txbxContent>
                  <w:p w14:paraId="44BCAF60">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27F037"/>
    <w:multiLevelType w:val="singleLevel"/>
    <w:tmpl w:val="BE27F037"/>
    <w:lvl w:ilvl="0" w:tentative="0">
      <w:start w:val="1"/>
      <w:numFmt w:val="decimal"/>
      <w:suff w:val="nothing"/>
      <w:lvlText w:val="%1、"/>
      <w:lvlJc w:val="left"/>
    </w:lvl>
  </w:abstractNum>
  <w:abstractNum w:abstractNumId="1">
    <w:nsid w:val="50DA7956"/>
    <w:multiLevelType w:val="singleLevel"/>
    <w:tmpl w:val="50DA7956"/>
    <w:lvl w:ilvl="0" w:tentative="0">
      <w:start w:val="1"/>
      <w:numFmt w:val="chineseCounting"/>
      <w:suff w:val="nothing"/>
      <w:lvlText w:val="%1、"/>
      <w:lvlJc w:val="left"/>
      <w:rPr>
        <w:rFonts w:hint="eastAsia"/>
      </w:rPr>
    </w:lvl>
  </w:abstractNum>
  <w:abstractNum w:abstractNumId="2">
    <w:nsid w:val="5D165344"/>
    <w:multiLevelType w:val="singleLevel"/>
    <w:tmpl w:val="5D165344"/>
    <w:lvl w:ilvl="0" w:tentative="0">
      <w:start w:val="1"/>
      <w:numFmt w:val="decimal"/>
      <w:lvlText w:val="%1)"/>
      <w:lvlJc w:val="left"/>
      <w:pPr>
        <w:ind w:left="440" w:hanging="440"/>
      </w:pPr>
      <w:rPr>
        <w:rFonts w:hint="default"/>
      </w:rPr>
    </w:lvl>
  </w:abstractNum>
  <w:abstractNum w:abstractNumId="3">
    <w:nsid w:val="6343F054"/>
    <w:multiLevelType w:val="multilevel"/>
    <w:tmpl w:val="6343F054"/>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21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73D1F585"/>
    <w:multiLevelType w:val="singleLevel"/>
    <w:tmpl w:val="73D1F585"/>
    <w:lvl w:ilvl="0" w:tentative="0">
      <w:start w:val="1"/>
      <w:numFmt w:val="decimal"/>
      <w:lvlText w:val="%1)"/>
      <w:lvlJc w:val="left"/>
      <w:pPr>
        <w:ind w:left="440" w:hanging="440"/>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hMGUxZWE0NzBmMjU3OTAxNTAzMDY4YjI4NzE5MzkifQ=="/>
  </w:docVars>
  <w:rsids>
    <w:rsidRoot w:val="6DB950BC"/>
    <w:rsid w:val="000038D6"/>
    <w:rsid w:val="00015E21"/>
    <w:rsid w:val="00025685"/>
    <w:rsid w:val="000576C6"/>
    <w:rsid w:val="000E225F"/>
    <w:rsid w:val="0010030A"/>
    <w:rsid w:val="0012008F"/>
    <w:rsid w:val="001212F6"/>
    <w:rsid w:val="0013217E"/>
    <w:rsid w:val="001426D3"/>
    <w:rsid w:val="00163A6F"/>
    <w:rsid w:val="00181BAF"/>
    <w:rsid w:val="001B7FED"/>
    <w:rsid w:val="001C16C8"/>
    <w:rsid w:val="001D1661"/>
    <w:rsid w:val="001D4C14"/>
    <w:rsid w:val="001E3503"/>
    <w:rsid w:val="00212489"/>
    <w:rsid w:val="00253A83"/>
    <w:rsid w:val="00281DC3"/>
    <w:rsid w:val="002A620F"/>
    <w:rsid w:val="002F52BC"/>
    <w:rsid w:val="003120B6"/>
    <w:rsid w:val="003318A7"/>
    <w:rsid w:val="003349EF"/>
    <w:rsid w:val="00342F98"/>
    <w:rsid w:val="00347467"/>
    <w:rsid w:val="00351D65"/>
    <w:rsid w:val="003A2E14"/>
    <w:rsid w:val="004034C4"/>
    <w:rsid w:val="00425951"/>
    <w:rsid w:val="00477D5C"/>
    <w:rsid w:val="004A3AE6"/>
    <w:rsid w:val="004B2110"/>
    <w:rsid w:val="004F0EA7"/>
    <w:rsid w:val="00501563"/>
    <w:rsid w:val="00504F81"/>
    <w:rsid w:val="005118D3"/>
    <w:rsid w:val="005204AF"/>
    <w:rsid w:val="00545C32"/>
    <w:rsid w:val="0056658F"/>
    <w:rsid w:val="00566BF0"/>
    <w:rsid w:val="005806C7"/>
    <w:rsid w:val="0058391F"/>
    <w:rsid w:val="00594B38"/>
    <w:rsid w:val="00596D24"/>
    <w:rsid w:val="005E7071"/>
    <w:rsid w:val="005F1EAA"/>
    <w:rsid w:val="005F6539"/>
    <w:rsid w:val="00624D95"/>
    <w:rsid w:val="006460AD"/>
    <w:rsid w:val="00676858"/>
    <w:rsid w:val="00693674"/>
    <w:rsid w:val="00705F5A"/>
    <w:rsid w:val="00716168"/>
    <w:rsid w:val="007457A7"/>
    <w:rsid w:val="007759C1"/>
    <w:rsid w:val="007770A4"/>
    <w:rsid w:val="00782DC5"/>
    <w:rsid w:val="007D359A"/>
    <w:rsid w:val="007F566F"/>
    <w:rsid w:val="00830831"/>
    <w:rsid w:val="008516E8"/>
    <w:rsid w:val="0086297D"/>
    <w:rsid w:val="00885E7D"/>
    <w:rsid w:val="008C4FAA"/>
    <w:rsid w:val="008D2311"/>
    <w:rsid w:val="008E27B7"/>
    <w:rsid w:val="00913038"/>
    <w:rsid w:val="00957543"/>
    <w:rsid w:val="00957C29"/>
    <w:rsid w:val="009A3D3C"/>
    <w:rsid w:val="009D6488"/>
    <w:rsid w:val="009F244C"/>
    <w:rsid w:val="00A05608"/>
    <w:rsid w:val="00A41F9B"/>
    <w:rsid w:val="00A54E40"/>
    <w:rsid w:val="00A73272"/>
    <w:rsid w:val="00A75E5C"/>
    <w:rsid w:val="00AA2946"/>
    <w:rsid w:val="00B31C63"/>
    <w:rsid w:val="00B34CB1"/>
    <w:rsid w:val="00B54D77"/>
    <w:rsid w:val="00B5725F"/>
    <w:rsid w:val="00B60970"/>
    <w:rsid w:val="00B6423B"/>
    <w:rsid w:val="00BA303E"/>
    <w:rsid w:val="00BD4AFC"/>
    <w:rsid w:val="00C0211F"/>
    <w:rsid w:val="00C36389"/>
    <w:rsid w:val="00C44F20"/>
    <w:rsid w:val="00C72996"/>
    <w:rsid w:val="00C90A6A"/>
    <w:rsid w:val="00C95A5C"/>
    <w:rsid w:val="00CB489F"/>
    <w:rsid w:val="00D2237E"/>
    <w:rsid w:val="00D250EA"/>
    <w:rsid w:val="00D26ABE"/>
    <w:rsid w:val="00D448CA"/>
    <w:rsid w:val="00D81A87"/>
    <w:rsid w:val="00DB591A"/>
    <w:rsid w:val="00DB6B02"/>
    <w:rsid w:val="00E20775"/>
    <w:rsid w:val="00E2271F"/>
    <w:rsid w:val="00E411A6"/>
    <w:rsid w:val="00E419F1"/>
    <w:rsid w:val="00E46D58"/>
    <w:rsid w:val="00EA0E71"/>
    <w:rsid w:val="00EA1108"/>
    <w:rsid w:val="00EA1D1F"/>
    <w:rsid w:val="00EB2A24"/>
    <w:rsid w:val="00EF6199"/>
    <w:rsid w:val="00F34629"/>
    <w:rsid w:val="00F540AA"/>
    <w:rsid w:val="00F675E6"/>
    <w:rsid w:val="00F93D3A"/>
    <w:rsid w:val="00FA3F2D"/>
    <w:rsid w:val="00FD2A8D"/>
    <w:rsid w:val="00FF1362"/>
    <w:rsid w:val="03BE7A19"/>
    <w:rsid w:val="046E0498"/>
    <w:rsid w:val="04FD19B7"/>
    <w:rsid w:val="05A065B7"/>
    <w:rsid w:val="05D42FA0"/>
    <w:rsid w:val="06096508"/>
    <w:rsid w:val="07C76DEA"/>
    <w:rsid w:val="0959058F"/>
    <w:rsid w:val="0A7D1BC1"/>
    <w:rsid w:val="0D8133B0"/>
    <w:rsid w:val="0D9E004B"/>
    <w:rsid w:val="0E183BD7"/>
    <w:rsid w:val="12F85200"/>
    <w:rsid w:val="1332329B"/>
    <w:rsid w:val="1438458B"/>
    <w:rsid w:val="15F7778A"/>
    <w:rsid w:val="170F1A33"/>
    <w:rsid w:val="17FE4168"/>
    <w:rsid w:val="1879A234"/>
    <w:rsid w:val="1C953FDB"/>
    <w:rsid w:val="1E9A0049"/>
    <w:rsid w:val="1F7476EE"/>
    <w:rsid w:val="205046E6"/>
    <w:rsid w:val="21271AF5"/>
    <w:rsid w:val="2197751D"/>
    <w:rsid w:val="227FE8BE"/>
    <w:rsid w:val="236B0C61"/>
    <w:rsid w:val="24C85C3F"/>
    <w:rsid w:val="24D33D4B"/>
    <w:rsid w:val="25610849"/>
    <w:rsid w:val="25936576"/>
    <w:rsid w:val="27E2225E"/>
    <w:rsid w:val="27FD02F5"/>
    <w:rsid w:val="28A24EE4"/>
    <w:rsid w:val="28AD179D"/>
    <w:rsid w:val="28C376C2"/>
    <w:rsid w:val="29E76BEA"/>
    <w:rsid w:val="2B4D3342"/>
    <w:rsid w:val="2B793D2B"/>
    <w:rsid w:val="2CD62BA8"/>
    <w:rsid w:val="2D035F88"/>
    <w:rsid w:val="2DF76306"/>
    <w:rsid w:val="2E0B0E2F"/>
    <w:rsid w:val="2F794967"/>
    <w:rsid w:val="2FED136C"/>
    <w:rsid w:val="2FF7B116"/>
    <w:rsid w:val="2FFB8021"/>
    <w:rsid w:val="32AE7C54"/>
    <w:rsid w:val="331035D3"/>
    <w:rsid w:val="33C17B7B"/>
    <w:rsid w:val="3622034E"/>
    <w:rsid w:val="364F50F5"/>
    <w:rsid w:val="36DF2053"/>
    <w:rsid w:val="36F062EE"/>
    <w:rsid w:val="37D42945"/>
    <w:rsid w:val="380729ED"/>
    <w:rsid w:val="38F23C2C"/>
    <w:rsid w:val="3A3E0AF5"/>
    <w:rsid w:val="3A821252"/>
    <w:rsid w:val="3A9692ED"/>
    <w:rsid w:val="3AC76210"/>
    <w:rsid w:val="3B5EF882"/>
    <w:rsid w:val="3BEFA8A2"/>
    <w:rsid w:val="3BFF8169"/>
    <w:rsid w:val="3C794E59"/>
    <w:rsid w:val="3CBDF954"/>
    <w:rsid w:val="3D1617E6"/>
    <w:rsid w:val="3D97CD38"/>
    <w:rsid w:val="3EA9DD42"/>
    <w:rsid w:val="3FFE2470"/>
    <w:rsid w:val="40490E6E"/>
    <w:rsid w:val="4068136A"/>
    <w:rsid w:val="41210A94"/>
    <w:rsid w:val="42721393"/>
    <w:rsid w:val="427F1D82"/>
    <w:rsid w:val="42AB0C22"/>
    <w:rsid w:val="43D5A1AB"/>
    <w:rsid w:val="484A6E97"/>
    <w:rsid w:val="4A9B42A2"/>
    <w:rsid w:val="4BD016F9"/>
    <w:rsid w:val="4C00468E"/>
    <w:rsid w:val="4DC66AD1"/>
    <w:rsid w:val="4E7EB237"/>
    <w:rsid w:val="4E896CF3"/>
    <w:rsid w:val="4F8545A9"/>
    <w:rsid w:val="4FE75803"/>
    <w:rsid w:val="502179C6"/>
    <w:rsid w:val="50692184"/>
    <w:rsid w:val="510F2142"/>
    <w:rsid w:val="5243353B"/>
    <w:rsid w:val="526602D5"/>
    <w:rsid w:val="526745E2"/>
    <w:rsid w:val="53977ACD"/>
    <w:rsid w:val="545509EE"/>
    <w:rsid w:val="54770964"/>
    <w:rsid w:val="553A7806"/>
    <w:rsid w:val="55567D78"/>
    <w:rsid w:val="55B55BE8"/>
    <w:rsid w:val="55DA366B"/>
    <w:rsid w:val="55F63225"/>
    <w:rsid w:val="564A6ABE"/>
    <w:rsid w:val="56D41079"/>
    <w:rsid w:val="57775B77"/>
    <w:rsid w:val="579B0E0D"/>
    <w:rsid w:val="57FF284D"/>
    <w:rsid w:val="5AEA76C6"/>
    <w:rsid w:val="5B135943"/>
    <w:rsid w:val="5B5D9BF2"/>
    <w:rsid w:val="5B7F31D3"/>
    <w:rsid w:val="5B7FC57E"/>
    <w:rsid w:val="5BB71F8E"/>
    <w:rsid w:val="5BF7EDE3"/>
    <w:rsid w:val="5C6833A2"/>
    <w:rsid w:val="5CBD80FF"/>
    <w:rsid w:val="5D31D5EB"/>
    <w:rsid w:val="5D3A560B"/>
    <w:rsid w:val="5E7FD827"/>
    <w:rsid w:val="5EBCB4E4"/>
    <w:rsid w:val="5EE9BA29"/>
    <w:rsid w:val="5EF3FAA8"/>
    <w:rsid w:val="5FFC6A71"/>
    <w:rsid w:val="5FFDE425"/>
    <w:rsid w:val="60AC408B"/>
    <w:rsid w:val="62932AD7"/>
    <w:rsid w:val="637A7968"/>
    <w:rsid w:val="66AE34E3"/>
    <w:rsid w:val="66EBAB0F"/>
    <w:rsid w:val="66EF42D6"/>
    <w:rsid w:val="677FD3F0"/>
    <w:rsid w:val="67FE64FE"/>
    <w:rsid w:val="67FF29E7"/>
    <w:rsid w:val="680775C9"/>
    <w:rsid w:val="69092D7D"/>
    <w:rsid w:val="69281EAE"/>
    <w:rsid w:val="69F66A8B"/>
    <w:rsid w:val="6B74257D"/>
    <w:rsid w:val="6B7A4A6C"/>
    <w:rsid w:val="6BFF20AD"/>
    <w:rsid w:val="6D38C564"/>
    <w:rsid w:val="6DB950BC"/>
    <w:rsid w:val="6DEE131F"/>
    <w:rsid w:val="6F045092"/>
    <w:rsid w:val="6F293F18"/>
    <w:rsid w:val="6FBFCC3F"/>
    <w:rsid w:val="70447E3C"/>
    <w:rsid w:val="71FF6ADA"/>
    <w:rsid w:val="72404633"/>
    <w:rsid w:val="7243772A"/>
    <w:rsid w:val="72F713A7"/>
    <w:rsid w:val="73DD7754"/>
    <w:rsid w:val="73FD261C"/>
    <w:rsid w:val="755EEFBB"/>
    <w:rsid w:val="7579E675"/>
    <w:rsid w:val="75EB03AD"/>
    <w:rsid w:val="75EB0D5A"/>
    <w:rsid w:val="764E3614"/>
    <w:rsid w:val="76A72ED3"/>
    <w:rsid w:val="772A140E"/>
    <w:rsid w:val="772E2DCB"/>
    <w:rsid w:val="77452C8F"/>
    <w:rsid w:val="777D4863"/>
    <w:rsid w:val="77AD27DC"/>
    <w:rsid w:val="77F7B6C4"/>
    <w:rsid w:val="79733CB3"/>
    <w:rsid w:val="7977BA56"/>
    <w:rsid w:val="7977F85E"/>
    <w:rsid w:val="7A6D2811"/>
    <w:rsid w:val="7ABF663C"/>
    <w:rsid w:val="7AD3A697"/>
    <w:rsid w:val="7BFB81BC"/>
    <w:rsid w:val="7BFF0DDC"/>
    <w:rsid w:val="7C605C9A"/>
    <w:rsid w:val="7D7FCAEF"/>
    <w:rsid w:val="7EBB1F85"/>
    <w:rsid w:val="7ECF8A4E"/>
    <w:rsid w:val="7ED6756B"/>
    <w:rsid w:val="7EEB5A7B"/>
    <w:rsid w:val="7EFD55B7"/>
    <w:rsid w:val="7EFF20E4"/>
    <w:rsid w:val="7F4E1EBA"/>
    <w:rsid w:val="7F6F73F6"/>
    <w:rsid w:val="7F8B8AAC"/>
    <w:rsid w:val="7FB0644E"/>
    <w:rsid w:val="7FBB045C"/>
    <w:rsid w:val="7FD797C1"/>
    <w:rsid w:val="7FDFDFA3"/>
    <w:rsid w:val="7FE41EBE"/>
    <w:rsid w:val="7FEB30DA"/>
    <w:rsid w:val="7FEF1B6A"/>
    <w:rsid w:val="7FFA1F94"/>
    <w:rsid w:val="7FFEAE90"/>
    <w:rsid w:val="7FFF833D"/>
    <w:rsid w:val="7FFFB557"/>
    <w:rsid w:val="85FD7214"/>
    <w:rsid w:val="8CD4F6A0"/>
    <w:rsid w:val="8FFF9693"/>
    <w:rsid w:val="971E611C"/>
    <w:rsid w:val="97CE67C4"/>
    <w:rsid w:val="9AD6279C"/>
    <w:rsid w:val="9FCF647E"/>
    <w:rsid w:val="A5BD2FB3"/>
    <w:rsid w:val="AB7A4887"/>
    <w:rsid w:val="AFBFF075"/>
    <w:rsid w:val="AFDD845F"/>
    <w:rsid w:val="AFEEB87F"/>
    <w:rsid w:val="B5FFA2A3"/>
    <w:rsid w:val="B67FED1B"/>
    <w:rsid w:val="B8ED9876"/>
    <w:rsid w:val="BAF7099F"/>
    <w:rsid w:val="BAFDC19F"/>
    <w:rsid w:val="BD7D93F4"/>
    <w:rsid w:val="BD9FA5BB"/>
    <w:rsid w:val="BEFFDE4D"/>
    <w:rsid w:val="BFDF94EA"/>
    <w:rsid w:val="C2DAE6A9"/>
    <w:rsid w:val="C7DF2CF2"/>
    <w:rsid w:val="C7FEE08B"/>
    <w:rsid w:val="CBF96522"/>
    <w:rsid w:val="D1D7FB71"/>
    <w:rsid w:val="D2B30263"/>
    <w:rsid w:val="D6EB65E4"/>
    <w:rsid w:val="D7FD8E94"/>
    <w:rsid w:val="D9BFBCD3"/>
    <w:rsid w:val="DB7E4567"/>
    <w:rsid w:val="DEFF25C9"/>
    <w:rsid w:val="DF7964B8"/>
    <w:rsid w:val="DFBB02FB"/>
    <w:rsid w:val="DFFDD1A4"/>
    <w:rsid w:val="E3FF0275"/>
    <w:rsid w:val="E69F2956"/>
    <w:rsid w:val="E75764F6"/>
    <w:rsid w:val="E7AF9D10"/>
    <w:rsid w:val="E7DF07FD"/>
    <w:rsid w:val="E9A749A7"/>
    <w:rsid w:val="E9F92BC6"/>
    <w:rsid w:val="E9FFC594"/>
    <w:rsid w:val="EBFECE7A"/>
    <w:rsid w:val="ED7F1624"/>
    <w:rsid w:val="ED8BE190"/>
    <w:rsid w:val="EE5B2FF5"/>
    <w:rsid w:val="EF4322EC"/>
    <w:rsid w:val="EFBA7AF7"/>
    <w:rsid w:val="EFFB7B24"/>
    <w:rsid w:val="F0F2AF1C"/>
    <w:rsid w:val="F27F94A7"/>
    <w:rsid w:val="F2F67F9E"/>
    <w:rsid w:val="F2FDB09C"/>
    <w:rsid w:val="F573F97D"/>
    <w:rsid w:val="F5E756C9"/>
    <w:rsid w:val="F66B9419"/>
    <w:rsid w:val="F6FD0E72"/>
    <w:rsid w:val="F7DBD343"/>
    <w:rsid w:val="F7DF6624"/>
    <w:rsid w:val="F7FF7A91"/>
    <w:rsid w:val="FA7F34E8"/>
    <w:rsid w:val="FAB300CE"/>
    <w:rsid w:val="FAF7295E"/>
    <w:rsid w:val="FB29B5F9"/>
    <w:rsid w:val="FB7E8EF2"/>
    <w:rsid w:val="FC8964A9"/>
    <w:rsid w:val="FCAF897E"/>
    <w:rsid w:val="FCD6A24E"/>
    <w:rsid w:val="FDDE163F"/>
    <w:rsid w:val="FDDE83B0"/>
    <w:rsid w:val="FDFDDF6E"/>
    <w:rsid w:val="FE3F533B"/>
    <w:rsid w:val="FEFD45EC"/>
    <w:rsid w:val="FEFE1BC7"/>
    <w:rsid w:val="FEFF6365"/>
    <w:rsid w:val="FEFF6B9F"/>
    <w:rsid w:val="FF7D42A1"/>
    <w:rsid w:val="FFBD6B02"/>
    <w:rsid w:val="FFC59CBE"/>
    <w:rsid w:val="FFDA459D"/>
    <w:rsid w:val="FFDE14E4"/>
    <w:rsid w:val="FFEFDBE6"/>
    <w:rsid w:val="FFF8FE00"/>
    <w:rsid w:val="FFFAA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qFormat/>
    <w:uiPriority w:val="0"/>
    <w:pPr>
      <w:keepNext/>
      <w:keepLines/>
      <w:numPr>
        <w:ilvl w:val="2"/>
        <w:numId w:val="1"/>
      </w:numPr>
      <w:ind w:left="0" w:firstLine="0"/>
      <w:outlineLvl w:val="2"/>
    </w:pPr>
    <w:rPr>
      <w:b/>
      <w:bCs/>
      <w:sz w:val="28"/>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qFormat/>
    <w:uiPriority w:val="0"/>
    <w:pPr>
      <w:jc w:val="left"/>
    </w:pPr>
  </w:style>
  <w:style w:type="paragraph" w:styleId="6">
    <w:name w:val="Body Text"/>
    <w:basedOn w:val="1"/>
    <w:next w:val="1"/>
    <w:qFormat/>
    <w:uiPriority w:val="0"/>
    <w:pPr>
      <w:tabs>
        <w:tab w:val="left" w:pos="0"/>
      </w:tabs>
      <w:spacing w:after="12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6"/>
    <w:unhideWhenUsed/>
    <w:qFormat/>
    <w:uiPriority w:val="99"/>
    <w:pPr>
      <w:ind w:firstLine="420" w:firstLineChars="100"/>
    </w:pPr>
    <w:rPr>
      <w:rFonts w:asciiTheme="minorHAnsi" w:hAnsiTheme="minorHAnsi" w:eastAsiaTheme="minorEastAsia" w:cstheme="minorBidi"/>
      <w:szCs w:val="22"/>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0"/>
    <w:rPr>
      <w:i/>
    </w:rPr>
  </w:style>
  <w:style w:type="paragraph" w:customStyle="1" w:styleId="14">
    <w:name w:val="正文1"/>
    <w:basedOn w:val="15"/>
    <w:next w:val="1"/>
    <w:autoRedefine/>
    <w:qFormat/>
    <w:uiPriority w:val="0"/>
    <w:pPr>
      <w:spacing w:line="318" w:lineRule="atLeast"/>
      <w:ind w:left="369" w:firstLine="369"/>
    </w:pPr>
    <w:rPr>
      <w:rFonts w:ascii="宋体"/>
    </w:rPr>
  </w:style>
  <w:style w:type="paragraph" w:customStyle="1" w:styleId="15">
    <w:name w:val="正文_1"/>
    <w:basedOn w:val="16"/>
    <w:autoRedefine/>
    <w:qFormat/>
    <w:uiPriority w:val="0"/>
    <w:rPr>
      <w:rFonts w:cs="Calibri"/>
      <w:szCs w:val="21"/>
    </w:rPr>
  </w:style>
  <w:style w:type="paragraph" w:customStyle="1" w:styleId="16">
    <w:name w:val="正文_2"/>
    <w:basedOn w:val="17"/>
    <w:next w:val="23"/>
    <w:autoRedefine/>
    <w:qFormat/>
    <w:uiPriority w:val="0"/>
  </w:style>
  <w:style w:type="paragraph" w:customStyle="1" w:styleId="17">
    <w:name w:val="正文_3"/>
    <w:next w:val="1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正文文本_1"/>
    <w:basedOn w:val="19"/>
    <w:autoRedefine/>
    <w:unhideWhenUsed/>
    <w:qFormat/>
    <w:uiPriority w:val="0"/>
    <w:pPr>
      <w:spacing w:after="120"/>
    </w:pPr>
    <w:rPr>
      <w:rFonts w:eastAsia="宋体" w:cs="Times New Roman"/>
    </w:rPr>
  </w:style>
  <w:style w:type="paragraph" w:customStyle="1" w:styleId="19">
    <w:name w:val="正文_2_0"/>
    <w:basedOn w:val="20"/>
    <w:next w:val="18"/>
    <w:autoRedefine/>
    <w:qFormat/>
    <w:uiPriority w:val="0"/>
    <w:rPr>
      <w:rFonts w:ascii="Calibri" w:hAnsi="Calibri"/>
      <w:sz w:val="21"/>
      <w:lang w:eastAsia="zh-CN"/>
    </w:rPr>
  </w:style>
  <w:style w:type="paragraph" w:customStyle="1" w:styleId="20">
    <w:name w:val="正文_3_0"/>
    <w:basedOn w:val="21"/>
    <w:autoRedefine/>
    <w:qFormat/>
    <w:uiPriority w:val="0"/>
    <w:pPr>
      <w:autoSpaceDE w:val="0"/>
      <w:autoSpaceDN w:val="0"/>
    </w:pPr>
    <w:rPr>
      <w:rFonts w:ascii="FangSong" w:hAnsi="FangSong" w:eastAsia="FangSong" w:cs="FangSong"/>
      <w:sz w:val="22"/>
      <w:lang w:eastAsia="en-US"/>
    </w:rPr>
  </w:style>
  <w:style w:type="paragraph" w:customStyle="1" w:styleId="21">
    <w:name w:val="正文_4_0"/>
    <w:basedOn w:val="22"/>
    <w:autoRedefine/>
    <w:qFormat/>
    <w:uiPriority w:val="0"/>
  </w:style>
  <w:style w:type="paragraph" w:customStyle="1" w:styleId="22">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styleId="23">
    <w:name w:val="No Spacing"/>
    <w:next w:val="24"/>
    <w:qFormat/>
    <w:uiPriority w:val="1"/>
    <w:rPr>
      <w:rFonts w:ascii="Calibri" w:hAnsi="Calibri" w:eastAsia="宋体" w:cs="Times New Roman"/>
      <w:sz w:val="22"/>
      <w:szCs w:val="22"/>
      <w:lang w:val="en-US" w:eastAsia="zh-CN" w:bidi="ar-SA"/>
    </w:rPr>
  </w:style>
  <w:style w:type="paragraph" w:customStyle="1" w:styleId="24">
    <w:name w:val="样式 标题 3 + (中文) 黑体 小四 非加粗 段前: 7.8 磅 段后: 0 磅 行距: 固定值 20 磅"/>
    <w:basedOn w:val="3"/>
    <w:autoRedefine/>
    <w:qFormat/>
    <w:uiPriority w:val="0"/>
    <w:pPr>
      <w:spacing w:line="400" w:lineRule="exact"/>
    </w:pPr>
    <w:rPr>
      <w:rFonts w:eastAsia="黑体" w:cs="宋体"/>
      <w:b w:val="0"/>
      <w:sz w:val="21"/>
      <w:szCs w:val="20"/>
    </w:rPr>
  </w:style>
  <w:style w:type="paragraph" w:customStyle="1" w:styleId="25">
    <w:name w:val="无间隔1"/>
    <w:basedOn w:val="1"/>
    <w:next w:val="24"/>
    <w:autoRedefine/>
    <w:qFormat/>
    <w:uiPriority w:val="1"/>
  </w:style>
  <w:style w:type="paragraph" w:customStyle="1" w:styleId="26">
    <w:name w:val="样式4"/>
    <w:basedOn w:val="1"/>
    <w:qFormat/>
    <w:uiPriority w:val="0"/>
    <w:pPr>
      <w:spacing w:line="560" w:lineRule="exact"/>
      <w:ind w:firstLine="200" w:firstLineChars="200"/>
    </w:pPr>
    <w:rPr>
      <w:rFonts w:ascii="宋体" w:hAnsi="宋体" w:eastAsia="FangSong"/>
      <w:sz w:val="32"/>
      <w:szCs w:val="28"/>
    </w:rPr>
  </w:style>
  <w:style w:type="character" w:customStyle="1" w:styleId="27">
    <w:name w:val="页眉 字符"/>
    <w:basedOn w:val="12"/>
    <w:link w:val="8"/>
    <w:qFormat/>
    <w:uiPriority w:val="0"/>
    <w:rPr>
      <w:kern w:val="2"/>
      <w:sz w:val="18"/>
      <w:szCs w:val="18"/>
    </w:rPr>
  </w:style>
  <w:style w:type="paragraph" w:styleId="28">
    <w:name w:val="List Paragraph"/>
    <w:basedOn w:val="1"/>
    <w:qFormat/>
    <w:uiPriority w:val="99"/>
    <w:pPr>
      <w:ind w:firstLine="420" w:firstLineChars="200"/>
    </w:pPr>
  </w:style>
  <w:style w:type="character" w:customStyle="1" w:styleId="29">
    <w:name w:val="font61"/>
    <w:basedOn w:val="12"/>
    <w:uiPriority w:val="0"/>
    <w:rPr>
      <w:rFonts w:ascii="楷体" w:hAnsi="楷体" w:eastAsia="楷体" w:cs="楷体"/>
      <w:b/>
      <w:bCs/>
      <w:color w:val="000000"/>
      <w:sz w:val="24"/>
      <w:szCs w:val="24"/>
      <w:u w:val="none"/>
    </w:rPr>
  </w:style>
  <w:style w:type="character" w:customStyle="1" w:styleId="30">
    <w:name w:val="font71"/>
    <w:basedOn w:val="12"/>
    <w:uiPriority w:val="0"/>
    <w:rPr>
      <w:rFonts w:ascii="FangSong" w:hAnsi="FangSong" w:eastAsia="FangSong" w:cs="FangSong"/>
      <w:b/>
      <w:bCs/>
      <w:color w:val="000000"/>
      <w:sz w:val="24"/>
      <w:szCs w:val="24"/>
      <w:u w:val="none"/>
    </w:rPr>
  </w:style>
  <w:style w:type="character" w:customStyle="1" w:styleId="31">
    <w:name w:val="font121"/>
    <w:basedOn w:val="12"/>
    <w:uiPriority w:val="0"/>
    <w:rPr>
      <w:rFonts w:hint="default" w:ascii="FangSong" w:hAnsi="FangSong" w:eastAsia="FangSong" w:cs="FangSong"/>
      <w:color w:val="000000"/>
      <w:sz w:val="24"/>
      <w:szCs w:val="24"/>
      <w:u w:val="none"/>
    </w:rPr>
  </w:style>
  <w:style w:type="character" w:customStyle="1" w:styleId="32">
    <w:name w:val="font101"/>
    <w:basedOn w:val="12"/>
    <w:uiPriority w:val="0"/>
    <w:rPr>
      <w:rFonts w:hint="default" w:ascii="FangSong" w:hAnsi="FangSong" w:eastAsia="FangSong" w:cs="FangSong"/>
      <w:color w:val="000000"/>
      <w:sz w:val="24"/>
      <w:szCs w:val="24"/>
      <w:u w:val="none"/>
    </w:rPr>
  </w:style>
  <w:style w:type="character" w:customStyle="1" w:styleId="33">
    <w:name w:val="font112"/>
    <w:basedOn w:val="12"/>
    <w:uiPriority w:val="0"/>
    <w:rPr>
      <w:rFonts w:ascii="Segoe UI Symbol" w:hAnsi="Segoe UI Symbol" w:eastAsia="Segoe UI Symbol" w:cs="Segoe UI Symbol"/>
      <w:b/>
      <w:bCs/>
      <w:color w:val="000000"/>
      <w:sz w:val="24"/>
      <w:szCs w:val="24"/>
      <w:u w:val="none"/>
    </w:rPr>
  </w:style>
  <w:style w:type="character" w:customStyle="1" w:styleId="34">
    <w:name w:val="font21"/>
    <w:basedOn w:val="12"/>
    <w:uiPriority w:val="0"/>
    <w:rPr>
      <w:rFonts w:hint="default" w:ascii="Times New Roman Regular" w:hAnsi="Times New Roman Regular" w:eastAsia="Times New Roman Regular" w:cs="Times New Roman Regular"/>
      <w:b/>
      <w:bCs/>
      <w:color w:val="000000"/>
      <w:sz w:val="24"/>
      <w:szCs w:val="24"/>
      <w:u w:val="none"/>
    </w:rPr>
  </w:style>
  <w:style w:type="character" w:customStyle="1" w:styleId="35">
    <w:name w:val="font51"/>
    <w:basedOn w:val="12"/>
    <w:uiPriority w:val="0"/>
    <w:rPr>
      <w:rFonts w:ascii="宋体-简" w:hAnsi="宋体-简" w:eastAsia="宋体-简" w:cs="宋体-简"/>
      <w:color w:val="000000"/>
      <w:sz w:val="22"/>
      <w:szCs w:val="22"/>
      <w:u w:val="none"/>
    </w:rPr>
  </w:style>
  <w:style w:type="character" w:customStyle="1" w:styleId="36">
    <w:name w:val="font31"/>
    <w:basedOn w:val="12"/>
    <w:uiPriority w:val="0"/>
    <w:rPr>
      <w:rFonts w:hint="eastAsia" w:ascii="宋体" w:hAnsi="宋体" w:eastAsia="宋体" w:cs="宋体"/>
      <w:color w:val="000000"/>
      <w:sz w:val="22"/>
      <w:szCs w:val="22"/>
      <w:u w:val="none"/>
    </w:rPr>
  </w:style>
  <w:style w:type="character" w:customStyle="1" w:styleId="37">
    <w:name w:val="font41"/>
    <w:basedOn w:val="12"/>
    <w:uiPriority w:val="0"/>
    <w:rPr>
      <w:rFonts w:hint="default" w:ascii="Times New Roman Regular" w:hAnsi="Times New Roman Regular" w:eastAsia="Times New Roman Regular" w:cs="Times New Roman Regular"/>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CD019D-915F-4398-9B03-5B93385FF9C5}">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1850</Words>
  <Characters>10549</Characters>
  <Lines>87</Lines>
  <Paragraphs>24</Paragraphs>
  <TotalTime>0</TotalTime>
  <ScaleCrop>false</ScaleCrop>
  <LinksUpToDate>false</LinksUpToDate>
  <CharactersWithSpaces>12375</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2022-04-28T00:51:00Z</dcterms:created>
  <dc:creator>Anna</dc:creator>
  <cp:lastModifiedBy>东吴乐</cp:lastModifiedBy>
  <cp:lastPrinted>2024-10-14T08:54:00Z</cp:lastPrinted>
  <dcterms:modified xsi:type="dcterms:W3CDTF">2026-08-16T18:32:10Z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4E1DAE7EB04498DBACA1EB6733D239F8_43</vt:lpwstr>
  </property>
</Properties>
</file>