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103F2">
      <w:pPr>
        <w:spacing w:line="360" w:lineRule="auto"/>
        <w:jc w:val="center"/>
        <w:rPr>
          <w:sz w:val="44"/>
          <w:szCs w:val="44"/>
        </w:rPr>
      </w:pPr>
    </w:p>
    <w:p w14:paraId="66D28459">
      <w:pPr>
        <w:spacing w:line="360" w:lineRule="auto"/>
        <w:jc w:val="center"/>
        <w:rPr>
          <w:sz w:val="44"/>
          <w:szCs w:val="44"/>
        </w:rPr>
      </w:pPr>
    </w:p>
    <w:p w14:paraId="78FDB44F">
      <w:pPr>
        <w:spacing w:line="360" w:lineRule="auto"/>
        <w:jc w:val="center"/>
        <w:rPr>
          <w:sz w:val="44"/>
          <w:szCs w:val="44"/>
        </w:rPr>
      </w:pPr>
    </w:p>
    <w:p w14:paraId="7A28C0B6">
      <w:pPr>
        <w:spacing w:line="360" w:lineRule="auto"/>
        <w:jc w:val="center"/>
        <w:rPr>
          <w:sz w:val="44"/>
          <w:szCs w:val="44"/>
        </w:rPr>
      </w:pPr>
    </w:p>
    <w:p w14:paraId="36CC1A95">
      <w:pPr>
        <w:spacing w:line="360" w:lineRule="auto"/>
        <w:rPr>
          <w:sz w:val="44"/>
          <w:szCs w:val="44"/>
        </w:rPr>
      </w:pPr>
    </w:p>
    <w:p w14:paraId="6F4F9BF9">
      <w:pPr>
        <w:spacing w:line="360" w:lineRule="auto"/>
        <w:jc w:val="center"/>
        <w:rPr>
          <w:rFonts w:hint="eastAsia" w:eastAsia="方正小标宋简体"/>
          <w:sz w:val="52"/>
          <w:szCs w:val="52"/>
          <w:lang w:eastAsia="zh-CN"/>
        </w:rPr>
      </w:pPr>
      <w:r>
        <w:rPr>
          <w:rFonts w:hint="eastAsia" w:eastAsia="方正小标宋简体"/>
          <w:sz w:val="52"/>
          <w:szCs w:val="52"/>
          <w:lang w:eastAsia="zh-CN"/>
        </w:rPr>
        <w:t>电子病历内涵式AI质控系统</w:t>
      </w:r>
    </w:p>
    <w:p w14:paraId="3E69CCF9">
      <w:pPr>
        <w:spacing w:line="360" w:lineRule="auto"/>
        <w:jc w:val="center"/>
        <w:rPr>
          <w:rFonts w:eastAsia="方正小标宋简体"/>
          <w:sz w:val="52"/>
          <w:szCs w:val="52"/>
        </w:rPr>
      </w:pPr>
      <w:r>
        <w:rPr>
          <w:rFonts w:eastAsia="方正小标宋简体"/>
          <w:sz w:val="52"/>
          <w:szCs w:val="52"/>
        </w:rPr>
        <w:t>采购需求书</w:t>
      </w:r>
    </w:p>
    <w:p w14:paraId="245D8F68">
      <w:pPr>
        <w:numPr>
          <w:ilvl w:val="0"/>
          <w:numId w:val="2"/>
        </w:numPr>
        <w:spacing w:line="360" w:lineRule="auto"/>
        <w:rPr>
          <w:sz w:val="28"/>
          <w:szCs w:val="28"/>
        </w:rPr>
      </w:pPr>
      <w:r>
        <w:rPr>
          <w:sz w:val="52"/>
          <w:szCs w:val="52"/>
        </w:rPr>
        <w:br w:type="page"/>
      </w:r>
    </w:p>
    <w:p w14:paraId="0B7DEC9F">
      <w:pPr>
        <w:sectPr>
          <w:pgSz w:w="11906" w:h="16838"/>
          <w:pgMar w:top="1440" w:right="1800" w:bottom="1440" w:left="1800" w:header="851" w:footer="992" w:gutter="0"/>
          <w:cols w:space="720" w:num="1"/>
          <w:docGrid w:type="lines" w:linePitch="312" w:charSpace="0"/>
        </w:sectPr>
      </w:pPr>
    </w:p>
    <w:p w14:paraId="528AC476">
      <w:pPr>
        <w:pStyle w:val="2"/>
        <w:rPr>
          <w:rFonts w:eastAsia="黑体"/>
          <w:sz w:val="28"/>
          <w:szCs w:val="28"/>
        </w:rPr>
      </w:pPr>
      <w:r>
        <w:rPr>
          <w:rFonts w:eastAsia="黑体"/>
          <w:sz w:val="28"/>
          <w:szCs w:val="28"/>
        </w:rPr>
        <w:t>一、项目概况及总体要求</w:t>
      </w:r>
    </w:p>
    <w:p w14:paraId="79D5C12B">
      <w:pPr>
        <w:spacing w:line="360" w:lineRule="auto"/>
        <w:rPr>
          <w:rFonts w:eastAsia="楷体"/>
          <w:b/>
          <w:bCs/>
          <w:sz w:val="28"/>
          <w:szCs w:val="28"/>
        </w:rPr>
      </w:pPr>
      <w:r>
        <w:rPr>
          <w:rFonts w:eastAsia="楷体"/>
          <w:b/>
          <w:bCs/>
          <w:sz w:val="28"/>
          <w:szCs w:val="28"/>
        </w:rPr>
        <w:t>1、项目名称</w:t>
      </w:r>
    </w:p>
    <w:p w14:paraId="6EC77DB8">
      <w:pPr>
        <w:spacing w:line="360" w:lineRule="auto"/>
        <w:ind w:firstLine="480" w:firstLineChars="200"/>
        <w:rPr>
          <w:rFonts w:eastAsia="FangSong"/>
          <w:sz w:val="24"/>
        </w:rPr>
      </w:pPr>
      <w:r>
        <w:rPr>
          <w:rFonts w:hint="eastAsia" w:eastAsia="FangSong"/>
          <w:sz w:val="24"/>
          <w:lang w:eastAsia="zh-CN"/>
        </w:rPr>
        <w:t>电子病历内涵式AI质控系统</w:t>
      </w:r>
      <w:r>
        <w:rPr>
          <w:rFonts w:eastAsia="FangSong"/>
          <w:sz w:val="24"/>
        </w:rPr>
        <w:t>。</w:t>
      </w:r>
    </w:p>
    <w:p w14:paraId="176D8A2E">
      <w:pPr>
        <w:spacing w:line="360" w:lineRule="auto"/>
        <w:rPr>
          <w:rFonts w:eastAsia="楷体"/>
          <w:b/>
          <w:bCs/>
          <w:sz w:val="28"/>
          <w:szCs w:val="28"/>
        </w:rPr>
      </w:pPr>
      <w:r>
        <w:rPr>
          <w:rFonts w:eastAsia="楷体"/>
          <w:b/>
          <w:bCs/>
          <w:sz w:val="28"/>
          <w:szCs w:val="28"/>
        </w:rPr>
        <w:t>2、采购背景</w:t>
      </w:r>
    </w:p>
    <w:p w14:paraId="01337929">
      <w:pPr>
        <w:spacing w:line="360" w:lineRule="auto"/>
        <w:ind w:firstLine="480" w:firstLineChars="200"/>
        <w:rPr>
          <w:rFonts w:hint="eastAsia" w:eastAsia="FangSong"/>
          <w:sz w:val="24"/>
          <w:lang w:eastAsia="zh-CN"/>
        </w:rPr>
      </w:pPr>
      <w:r>
        <w:rPr>
          <w:rFonts w:hint="eastAsia" w:eastAsia="FangSong"/>
          <w:sz w:val="24"/>
        </w:rPr>
        <w:t>为提升我院病历书写质量、病案首页数据质量和医疗质量安全管理水平，满足三级医院评审、电子病历系统应用水平分级评价、医保监管及医院精细化管理要求，需建设电子病历内涵式AI质控系统。系统围绕“电子病历内涵式AI质控”和“病案首页质控”两部分开展建设，结合院内现有信息化基础及后续硬件扩展条件，整合院内所有相关业务系统数据，实现病历质量问题自动识别、实时提醒、人工复核、整改闭环与统计分析。</w:t>
      </w:r>
    </w:p>
    <w:p w14:paraId="3FB77C49">
      <w:pPr>
        <w:spacing w:line="360" w:lineRule="auto"/>
        <w:rPr>
          <w:rFonts w:eastAsia="楷体"/>
          <w:b/>
          <w:bCs/>
          <w:sz w:val="28"/>
          <w:szCs w:val="28"/>
        </w:rPr>
      </w:pPr>
      <w:r>
        <w:rPr>
          <w:rFonts w:eastAsia="楷体"/>
          <w:b/>
          <w:bCs/>
          <w:sz w:val="28"/>
          <w:szCs w:val="28"/>
        </w:rPr>
        <w:t>3、项目目标</w:t>
      </w:r>
    </w:p>
    <w:p w14:paraId="036270A5">
      <w:pPr>
        <w:spacing w:line="360" w:lineRule="auto"/>
        <w:ind w:firstLine="420"/>
        <w:rPr>
          <w:rFonts w:hint="eastAsia" w:eastAsia="FangSong"/>
          <w:sz w:val="24"/>
        </w:rPr>
      </w:pPr>
      <w:r>
        <w:rPr>
          <w:rFonts w:hint="eastAsia" w:eastAsia="FangSong"/>
          <w:sz w:val="24"/>
        </w:rPr>
        <w:t>本项目建设目标是构建覆盖运行病历、终末病历和病案首页的智能质控平台。系统应通过规则引擎、医学知识库、自然语言处理和大模型语义分析能力，对病历完整性、时效性、一致性、合理性及首页数据规范性进行自动审核，推动质控关口前移，减少事后人工抽查的滞后性。</w:t>
      </w:r>
    </w:p>
    <w:p w14:paraId="31C29D92">
      <w:pPr>
        <w:spacing w:line="360" w:lineRule="auto"/>
        <w:ind w:firstLine="420"/>
        <w:rPr>
          <w:rFonts w:hint="eastAsia" w:eastAsia="FangSong"/>
          <w:sz w:val="24"/>
        </w:rPr>
      </w:pPr>
      <w:r>
        <w:rPr>
          <w:rFonts w:hint="eastAsia" w:eastAsia="FangSong"/>
          <w:sz w:val="24"/>
        </w:rPr>
        <w:t>系统应支持医生端实时提醒、质控人员人工审核、科室整改反馈、问题申诉确认、评价单下发、任务关闭等闭环流程，形成院级、科级、专家级多级协同质控机制。</w:t>
      </w:r>
    </w:p>
    <w:p w14:paraId="199F5B12">
      <w:pPr>
        <w:spacing w:line="360" w:lineRule="auto"/>
        <w:ind w:firstLine="420"/>
        <w:rPr>
          <w:rFonts w:hint="eastAsia" w:eastAsia="FangSong"/>
          <w:sz w:val="24"/>
        </w:rPr>
      </w:pPr>
    </w:p>
    <w:p w14:paraId="40B60E07">
      <w:pPr>
        <w:pStyle w:val="2"/>
        <w:rPr>
          <w:rFonts w:eastAsia="黑体"/>
          <w:sz w:val="28"/>
          <w:szCs w:val="28"/>
        </w:rPr>
      </w:pPr>
      <w:r>
        <w:rPr>
          <w:rFonts w:eastAsia="黑体"/>
          <w:sz w:val="28"/>
          <w:szCs w:val="28"/>
        </w:rPr>
        <w:t>二、采购用途</w:t>
      </w:r>
    </w:p>
    <w:p w14:paraId="07124068">
      <w:pPr>
        <w:spacing w:line="360" w:lineRule="auto"/>
        <w:rPr>
          <w:rFonts w:eastAsia="楷体"/>
          <w:b/>
          <w:bCs/>
          <w:sz w:val="28"/>
          <w:szCs w:val="28"/>
        </w:rPr>
      </w:pPr>
      <w:r>
        <w:rPr>
          <w:rFonts w:eastAsia="楷体"/>
          <w:b/>
          <w:bCs/>
          <w:sz w:val="28"/>
          <w:szCs w:val="28"/>
        </w:rPr>
        <w:t>1、采购用途</w:t>
      </w:r>
    </w:p>
    <w:p w14:paraId="71B49DFD">
      <w:pPr>
        <w:spacing w:line="360" w:lineRule="auto"/>
        <w:ind w:firstLine="480" w:firstLineChars="200"/>
        <w:rPr>
          <w:rFonts w:eastAsia="FangSong"/>
          <w:sz w:val="24"/>
        </w:rPr>
      </w:pPr>
      <w:r>
        <w:rPr>
          <w:rFonts w:eastAsia="FangSong"/>
          <w:sz w:val="24"/>
        </w:rPr>
        <w:sym w:font="Wingdings 2" w:char="00A3"/>
      </w:r>
      <w:r>
        <w:rPr>
          <w:rFonts w:eastAsia="FangSong"/>
          <w:sz w:val="24"/>
        </w:rPr>
        <w:t xml:space="preserve">科研  </w:t>
      </w:r>
      <w:r>
        <w:rPr>
          <w:rFonts w:eastAsia="FangSong"/>
          <w:sz w:val="24"/>
        </w:rPr>
        <w:sym w:font="Wingdings 2" w:char="00A3"/>
      </w:r>
      <w:r>
        <w:rPr>
          <w:rFonts w:eastAsia="FangSong"/>
          <w:sz w:val="24"/>
        </w:rPr>
        <w:t xml:space="preserve">教学  </w:t>
      </w:r>
      <w:r>
        <w:rPr>
          <w:rFonts w:eastAsia="FangSong"/>
          <w:sz w:val="24"/>
        </w:rPr>
        <w:sym w:font="Wingdings 2" w:char="0052"/>
      </w:r>
      <w:r>
        <w:rPr>
          <w:rFonts w:eastAsia="FangSong"/>
          <w:sz w:val="24"/>
        </w:rPr>
        <w:t xml:space="preserve">医疗  </w:t>
      </w:r>
      <w:r>
        <w:rPr>
          <w:rFonts w:eastAsia="FangSong"/>
          <w:sz w:val="24"/>
        </w:rPr>
        <w:sym w:font="Wingdings 2" w:char="00A3"/>
      </w:r>
      <w:r>
        <w:rPr>
          <w:rFonts w:eastAsia="FangSong"/>
          <w:sz w:val="24"/>
        </w:rPr>
        <w:t xml:space="preserve">管理  </w:t>
      </w:r>
      <w:r>
        <w:rPr>
          <w:rFonts w:eastAsia="FangSong"/>
          <w:sz w:val="24"/>
        </w:rPr>
        <w:sym w:font="Wingdings 2" w:char="00A3"/>
      </w:r>
      <w:r>
        <w:rPr>
          <w:rFonts w:eastAsia="FangSong"/>
          <w:sz w:val="24"/>
        </w:rPr>
        <w:t xml:space="preserve">后勤  </w:t>
      </w:r>
      <w:r>
        <w:rPr>
          <w:rFonts w:eastAsia="FangSong"/>
          <w:sz w:val="24"/>
        </w:rPr>
        <w:sym w:font="Wingdings 2" w:char="00A3"/>
      </w:r>
      <w:r>
        <w:rPr>
          <w:rFonts w:eastAsia="FangSong"/>
          <w:sz w:val="24"/>
        </w:rPr>
        <w:t xml:space="preserve">其他 </w:t>
      </w:r>
    </w:p>
    <w:p w14:paraId="73488505">
      <w:pPr>
        <w:spacing w:line="360" w:lineRule="auto"/>
        <w:rPr>
          <w:rFonts w:eastAsia="楷体"/>
          <w:b/>
          <w:bCs/>
          <w:sz w:val="28"/>
          <w:szCs w:val="28"/>
        </w:rPr>
      </w:pPr>
      <w:r>
        <w:rPr>
          <w:rFonts w:eastAsia="楷体"/>
          <w:b/>
          <w:bCs/>
          <w:sz w:val="28"/>
          <w:szCs w:val="28"/>
        </w:rPr>
        <w:t>2、用途说明</w:t>
      </w:r>
    </w:p>
    <w:p w14:paraId="621646E4">
      <w:pPr>
        <w:spacing w:line="360" w:lineRule="auto"/>
        <w:ind w:firstLine="480" w:firstLineChars="200"/>
        <w:rPr>
          <w:rFonts w:eastAsia="FangSong"/>
          <w:sz w:val="24"/>
        </w:rPr>
      </w:pPr>
      <w:r>
        <w:rPr>
          <w:rFonts w:hint="eastAsia" w:eastAsia="FangSong"/>
          <w:sz w:val="24"/>
          <w:lang w:eastAsia="zh-CN"/>
        </w:rPr>
        <w:t>主要用于电子病历内涵质量和病案首页质量的智能化质控与闭环管理，实现病历缺陷实时提醒、首页数据自动校验、编码审核反馈、人工复核、整改追踪和质量统计分析。</w:t>
      </w:r>
    </w:p>
    <w:p w14:paraId="795BBCB4">
      <w:pPr>
        <w:pStyle w:val="2"/>
        <w:rPr>
          <w:rFonts w:eastAsia="黑体"/>
          <w:sz w:val="28"/>
          <w:szCs w:val="28"/>
        </w:rPr>
      </w:pPr>
      <w:r>
        <w:rPr>
          <w:rFonts w:eastAsia="黑体"/>
          <w:sz w:val="28"/>
          <w:szCs w:val="28"/>
        </w:rPr>
        <w:t>三、采购需求一览表（</w:t>
      </w:r>
      <w:r>
        <w:rPr>
          <w:rFonts w:hint="eastAsia" w:eastAsia="黑体"/>
          <w:sz w:val="28"/>
          <w:szCs w:val="28"/>
        </w:rPr>
        <w:t>货物</w:t>
      </w:r>
      <w:r>
        <w:rPr>
          <w:rFonts w:eastAsia="黑体"/>
          <w:sz w:val="28"/>
          <w:szCs w:val="28"/>
        </w:rPr>
        <w:t>类）</w:t>
      </w:r>
    </w:p>
    <w:tbl>
      <w:tblPr>
        <w:tblStyle w:val="10"/>
        <w:tblW w:w="8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600"/>
        <w:gridCol w:w="1134"/>
        <w:gridCol w:w="957"/>
        <w:gridCol w:w="854"/>
        <w:gridCol w:w="1090"/>
      </w:tblGrid>
      <w:tr w14:paraId="241A7023">
        <w:trPr>
          <w:trHeight w:val="68" w:hRule="atLeast"/>
        </w:trPr>
        <w:tc>
          <w:tcPr>
            <w:tcW w:w="840" w:type="dxa"/>
            <w:vAlign w:val="center"/>
          </w:tcPr>
          <w:p w14:paraId="77DC5B02">
            <w:pPr>
              <w:spacing w:line="360" w:lineRule="auto"/>
              <w:jc w:val="center"/>
              <w:rPr>
                <w:rFonts w:eastAsia="FangSong"/>
                <w:b/>
                <w:bCs/>
                <w:szCs w:val="21"/>
              </w:rPr>
            </w:pPr>
            <w:r>
              <w:rPr>
                <w:rFonts w:hint="eastAsia" w:eastAsia="FangSong"/>
                <w:b/>
                <w:bCs/>
                <w:szCs w:val="21"/>
              </w:rPr>
              <w:t>序号</w:t>
            </w:r>
          </w:p>
        </w:tc>
        <w:tc>
          <w:tcPr>
            <w:tcW w:w="3600" w:type="dxa"/>
            <w:vAlign w:val="center"/>
          </w:tcPr>
          <w:p w14:paraId="1A73B174">
            <w:pPr>
              <w:widowControl/>
              <w:spacing w:line="360" w:lineRule="auto"/>
              <w:jc w:val="center"/>
              <w:rPr>
                <w:rFonts w:eastAsia="FangSong"/>
                <w:b/>
                <w:bCs/>
                <w:szCs w:val="21"/>
              </w:rPr>
            </w:pPr>
            <w:r>
              <w:rPr>
                <w:rFonts w:hint="eastAsia" w:eastAsia="FangSong"/>
                <w:b/>
                <w:bCs/>
                <w:szCs w:val="21"/>
              </w:rPr>
              <w:t>货物名称</w:t>
            </w:r>
          </w:p>
        </w:tc>
        <w:tc>
          <w:tcPr>
            <w:tcW w:w="1134" w:type="dxa"/>
            <w:vAlign w:val="center"/>
          </w:tcPr>
          <w:p w14:paraId="59F2BC0F">
            <w:pPr>
              <w:widowControl/>
              <w:spacing w:line="360" w:lineRule="auto"/>
              <w:jc w:val="center"/>
              <w:rPr>
                <w:rFonts w:eastAsia="FangSong"/>
                <w:b/>
                <w:bCs/>
                <w:szCs w:val="21"/>
              </w:rPr>
            </w:pPr>
            <w:r>
              <w:rPr>
                <w:rFonts w:hint="eastAsia" w:eastAsia="FangSong"/>
                <w:b/>
                <w:bCs/>
                <w:szCs w:val="21"/>
              </w:rPr>
              <w:t>是否为</w:t>
            </w:r>
          </w:p>
          <w:p w14:paraId="1611BC6A">
            <w:pPr>
              <w:widowControl/>
              <w:spacing w:line="360" w:lineRule="auto"/>
              <w:jc w:val="center"/>
              <w:rPr>
                <w:rFonts w:eastAsia="FangSong"/>
                <w:b/>
                <w:bCs/>
                <w:szCs w:val="21"/>
              </w:rPr>
            </w:pPr>
            <w:r>
              <w:rPr>
                <w:rFonts w:hint="eastAsia" w:eastAsia="FangSong"/>
                <w:b/>
                <w:bCs/>
                <w:szCs w:val="21"/>
              </w:rPr>
              <w:t>进口设备</w:t>
            </w:r>
          </w:p>
        </w:tc>
        <w:tc>
          <w:tcPr>
            <w:tcW w:w="957" w:type="dxa"/>
            <w:vAlign w:val="center"/>
          </w:tcPr>
          <w:p w14:paraId="18CF303B">
            <w:pPr>
              <w:widowControl/>
              <w:spacing w:line="360" w:lineRule="auto"/>
              <w:jc w:val="center"/>
              <w:rPr>
                <w:rFonts w:eastAsia="FangSong"/>
                <w:b/>
                <w:bCs/>
                <w:szCs w:val="21"/>
              </w:rPr>
            </w:pPr>
            <w:r>
              <w:rPr>
                <w:rFonts w:hint="eastAsia" w:eastAsia="FangSong"/>
                <w:b/>
                <w:bCs/>
                <w:szCs w:val="21"/>
              </w:rPr>
              <w:t>单位</w:t>
            </w:r>
          </w:p>
        </w:tc>
        <w:tc>
          <w:tcPr>
            <w:tcW w:w="854" w:type="dxa"/>
            <w:vAlign w:val="center"/>
          </w:tcPr>
          <w:p w14:paraId="7138537E">
            <w:pPr>
              <w:widowControl/>
              <w:spacing w:line="360" w:lineRule="auto"/>
              <w:jc w:val="center"/>
              <w:rPr>
                <w:rFonts w:eastAsia="FangSong"/>
                <w:b/>
                <w:bCs/>
                <w:szCs w:val="21"/>
              </w:rPr>
            </w:pPr>
            <w:r>
              <w:rPr>
                <w:rFonts w:hint="eastAsia" w:eastAsia="FangSong"/>
                <w:b/>
                <w:bCs/>
                <w:szCs w:val="21"/>
              </w:rPr>
              <w:t>数量</w:t>
            </w:r>
          </w:p>
        </w:tc>
        <w:tc>
          <w:tcPr>
            <w:tcW w:w="1090" w:type="dxa"/>
            <w:vAlign w:val="center"/>
          </w:tcPr>
          <w:p w14:paraId="2083C25E">
            <w:pPr>
              <w:widowControl/>
              <w:spacing w:line="360" w:lineRule="auto"/>
              <w:jc w:val="center"/>
              <w:rPr>
                <w:rFonts w:eastAsia="FangSong"/>
                <w:b/>
                <w:bCs/>
                <w:szCs w:val="21"/>
              </w:rPr>
            </w:pPr>
            <w:r>
              <w:rPr>
                <w:rFonts w:hint="eastAsia" w:eastAsia="FangSong"/>
                <w:b/>
                <w:bCs/>
                <w:szCs w:val="21"/>
              </w:rPr>
              <w:t>是否属</w:t>
            </w:r>
          </w:p>
          <w:p w14:paraId="5E6053DA">
            <w:pPr>
              <w:widowControl/>
              <w:spacing w:line="360" w:lineRule="auto"/>
              <w:jc w:val="center"/>
              <w:rPr>
                <w:rFonts w:eastAsia="FangSong"/>
                <w:b/>
                <w:bCs/>
                <w:szCs w:val="21"/>
              </w:rPr>
            </w:pPr>
            <w:r>
              <w:rPr>
                <w:rFonts w:hint="eastAsia" w:eastAsia="FangSong"/>
                <w:b/>
                <w:bCs/>
                <w:szCs w:val="21"/>
              </w:rPr>
              <w:t>核心产品</w:t>
            </w:r>
          </w:p>
        </w:tc>
      </w:tr>
      <w:tr w14:paraId="60F7DD55">
        <w:trPr>
          <w:trHeight w:val="68" w:hRule="atLeast"/>
        </w:trPr>
        <w:tc>
          <w:tcPr>
            <w:tcW w:w="840" w:type="dxa"/>
            <w:vAlign w:val="center"/>
          </w:tcPr>
          <w:p w14:paraId="48FBB556">
            <w:pPr>
              <w:spacing w:line="360" w:lineRule="auto"/>
              <w:jc w:val="center"/>
              <w:rPr>
                <w:rFonts w:eastAsia="FangSong"/>
                <w:szCs w:val="21"/>
              </w:rPr>
            </w:pPr>
            <w:r>
              <w:rPr>
                <w:rFonts w:hint="eastAsia" w:eastAsia="FangSong"/>
                <w:szCs w:val="21"/>
              </w:rPr>
              <w:t>1</w:t>
            </w:r>
          </w:p>
        </w:tc>
        <w:tc>
          <w:tcPr>
            <w:tcW w:w="3600" w:type="dxa"/>
            <w:vAlign w:val="center"/>
          </w:tcPr>
          <w:p w14:paraId="500DC428">
            <w:pPr>
              <w:jc w:val="center"/>
              <w:rPr>
                <w:rFonts w:eastAsia="FangSong"/>
                <w:szCs w:val="21"/>
              </w:rPr>
            </w:pPr>
            <w:r>
              <w:rPr>
                <w:rFonts w:hint="eastAsia" w:eastAsia="FangSong"/>
                <w:szCs w:val="21"/>
                <w:lang w:eastAsia="zh-CN"/>
              </w:rPr>
              <w:t>电子病历内涵式AI质控系统</w:t>
            </w:r>
          </w:p>
        </w:tc>
        <w:tc>
          <w:tcPr>
            <w:tcW w:w="1134" w:type="dxa"/>
            <w:vAlign w:val="center"/>
          </w:tcPr>
          <w:p w14:paraId="209EAFE6">
            <w:pPr>
              <w:widowControl/>
              <w:spacing w:line="360" w:lineRule="auto"/>
              <w:jc w:val="center"/>
              <w:rPr>
                <w:rFonts w:eastAsia="FangSong"/>
                <w:szCs w:val="21"/>
              </w:rPr>
            </w:pPr>
            <w:r>
              <w:rPr>
                <w:rFonts w:hint="eastAsia" w:eastAsia="FangSong"/>
                <w:szCs w:val="21"/>
              </w:rPr>
              <w:t>否</w:t>
            </w:r>
          </w:p>
        </w:tc>
        <w:tc>
          <w:tcPr>
            <w:tcW w:w="957" w:type="dxa"/>
            <w:vAlign w:val="center"/>
          </w:tcPr>
          <w:p w14:paraId="212B641B">
            <w:pPr>
              <w:widowControl/>
              <w:spacing w:line="360" w:lineRule="auto"/>
              <w:jc w:val="center"/>
              <w:rPr>
                <w:rFonts w:eastAsia="FangSong"/>
                <w:szCs w:val="21"/>
              </w:rPr>
            </w:pPr>
            <w:r>
              <w:rPr>
                <w:rFonts w:hint="eastAsia" w:eastAsia="FangSong"/>
                <w:szCs w:val="21"/>
              </w:rPr>
              <w:t>1</w:t>
            </w:r>
          </w:p>
        </w:tc>
        <w:tc>
          <w:tcPr>
            <w:tcW w:w="854" w:type="dxa"/>
            <w:vAlign w:val="center"/>
          </w:tcPr>
          <w:p w14:paraId="460A6CC1">
            <w:pPr>
              <w:widowControl/>
              <w:spacing w:line="360" w:lineRule="auto"/>
              <w:jc w:val="center"/>
              <w:rPr>
                <w:rFonts w:eastAsia="FangSong"/>
                <w:szCs w:val="21"/>
              </w:rPr>
            </w:pPr>
            <w:r>
              <w:rPr>
                <w:rFonts w:hint="eastAsia" w:eastAsia="FangSong"/>
                <w:szCs w:val="21"/>
              </w:rPr>
              <w:t>套</w:t>
            </w:r>
          </w:p>
        </w:tc>
        <w:tc>
          <w:tcPr>
            <w:tcW w:w="1090" w:type="dxa"/>
            <w:vAlign w:val="center"/>
          </w:tcPr>
          <w:p w14:paraId="18C89BB1">
            <w:pPr>
              <w:spacing w:line="360" w:lineRule="auto"/>
              <w:jc w:val="center"/>
              <w:rPr>
                <w:rFonts w:eastAsia="FangSong"/>
                <w:szCs w:val="21"/>
              </w:rPr>
            </w:pPr>
            <w:r>
              <w:rPr>
                <w:rFonts w:hint="eastAsia" w:eastAsia="FangSong"/>
                <w:szCs w:val="21"/>
              </w:rPr>
              <w:t>是</w:t>
            </w:r>
          </w:p>
        </w:tc>
      </w:tr>
    </w:tbl>
    <w:p w14:paraId="6C7DEEC6">
      <w:pPr>
        <w:pStyle w:val="2"/>
        <w:keepNext/>
        <w:keepLines/>
        <w:pageBreakBefore w:val="0"/>
        <w:widowControl w:val="0"/>
        <w:numPr>
          <w:ilvl w:val="0"/>
          <w:numId w:val="3"/>
        </w:numPr>
        <w:kinsoku/>
        <w:wordWrap/>
        <w:overflowPunct/>
        <w:topLinePunct w:val="0"/>
        <w:autoSpaceDE/>
        <w:autoSpaceDN/>
        <w:bidi w:val="0"/>
        <w:adjustRightInd/>
        <w:snapToGrid/>
        <w:spacing w:line="360" w:lineRule="auto"/>
        <w:textAlignment w:val="auto"/>
        <w:rPr>
          <w:rFonts w:eastAsia="黑体"/>
          <w:sz w:val="28"/>
          <w:szCs w:val="28"/>
        </w:rPr>
      </w:pPr>
      <w:r>
        <w:rPr>
          <w:rFonts w:eastAsia="黑体"/>
          <w:sz w:val="28"/>
          <w:szCs w:val="28"/>
        </w:rPr>
        <w:t>技术指标</w:t>
      </w:r>
    </w:p>
    <w:p w14:paraId="73A925B2">
      <w:pPr>
        <w:spacing w:line="360" w:lineRule="auto"/>
        <w:ind w:firstLine="480" w:firstLineChars="200"/>
        <w:rPr>
          <w:rFonts w:hint="eastAsia" w:eastAsia="FangSong"/>
          <w:sz w:val="24"/>
          <w:lang w:eastAsia="zh-CN"/>
        </w:rPr>
      </w:pPr>
      <w:r>
        <w:rPr>
          <w:rFonts w:hint="eastAsia" w:eastAsia="FangSong"/>
          <w:sz w:val="24"/>
          <w:lang w:eastAsia="zh-CN"/>
        </w:rPr>
        <w:t>本项目功能由电子病历内涵式AI质控模块和病案首页质控模块组成，两部分应统一纳入系统权限、质控闭环、统计分析和接口集成体系。</w:t>
      </w:r>
    </w:p>
    <w:p w14:paraId="63F5421B">
      <w:pPr>
        <w:numPr>
          <w:ilvl w:val="0"/>
          <w:numId w:val="0"/>
        </w:numPr>
        <w:spacing w:line="360" w:lineRule="auto"/>
        <w:rPr>
          <w:rFonts w:ascii="Times New Roman Regular" w:hAnsi="Times New Roman Regular" w:eastAsia="楷体" w:cs="Times New Roman Regular"/>
          <w:b/>
          <w:bCs/>
          <w:sz w:val="28"/>
          <w:szCs w:val="28"/>
        </w:rPr>
      </w:pPr>
      <w:r>
        <w:rPr>
          <w:rFonts w:hint="eastAsia" w:ascii="Times New Roman Regular" w:hAnsi="Times New Roman Regular" w:eastAsia="楷体" w:cs="Times New Roman Regular"/>
          <w:b/>
          <w:bCs/>
          <w:sz w:val="28"/>
          <w:szCs w:val="28"/>
          <w:lang w:val="en-US" w:eastAsia="zh-CN"/>
        </w:rPr>
        <w:t>1、</w:t>
      </w:r>
      <w:r>
        <w:rPr>
          <w:rFonts w:ascii="Times New Roman Regular" w:hAnsi="Times New Roman Regular" w:eastAsia="楷体" w:cs="Times New Roman Regular"/>
          <w:b/>
          <w:bCs/>
          <w:sz w:val="28"/>
          <w:szCs w:val="28"/>
        </w:rPr>
        <w:t>项目功能模块</w:t>
      </w:r>
      <w:bookmarkStart w:id="0" w:name="_Hlk177134152"/>
    </w:p>
    <w:p w14:paraId="6AAA4CBB">
      <w:pPr>
        <w:spacing w:line="360" w:lineRule="auto"/>
        <w:rPr>
          <w:rFonts w:hint="eastAsia" w:ascii="Times New Roman Regular" w:hAnsi="Times New Roman Regular" w:eastAsia="楷体" w:cs="Times New Roman Regular"/>
          <w:b/>
          <w:bCs/>
          <w:sz w:val="24"/>
          <w:lang w:eastAsia="zh-CN"/>
        </w:rPr>
      </w:pPr>
      <w:r>
        <w:rPr>
          <w:rFonts w:hint="eastAsia" w:ascii="Times New Roman Regular" w:hAnsi="Times New Roman Regular" w:eastAsia="楷体" w:cs="Times New Roman Regular"/>
          <w:b/>
          <w:bCs/>
          <w:sz w:val="24"/>
          <w:lang w:val="en-US" w:eastAsia="zh-CN"/>
        </w:rPr>
        <w:t>1.1</w:t>
      </w:r>
      <w:r>
        <w:rPr>
          <w:rFonts w:ascii="Times New Roman Regular" w:hAnsi="Times New Roman Regular" w:eastAsia="楷体" w:cs="Times New Roman Regular"/>
          <w:b/>
          <w:bCs/>
          <w:sz w:val="24"/>
        </w:rPr>
        <w:t>电子病历内涵式AI质控模块</w:t>
      </w:r>
    </w:p>
    <w:bookmarkEnd w:id="0"/>
    <w:tbl>
      <w:tblPr>
        <w:tblStyle w:val="11"/>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75"/>
        <w:gridCol w:w="955"/>
        <w:gridCol w:w="5848"/>
      </w:tblGrid>
      <w:tr w14:paraId="121DC079">
        <w:trPr>
          <w:tblHeader/>
          <w:jc w:val="center"/>
        </w:trPr>
        <w:tc>
          <w:tcPr>
            <w:tcW w:w="700" w:type="dxa"/>
            <w:shd w:val="clear" w:color="auto" w:fill="D7D7D7" w:themeFill="background1" w:themeFillShade="D8"/>
            <w:tcMar>
              <w:top w:w="60" w:type="dxa"/>
              <w:left w:w="60" w:type="dxa"/>
              <w:bottom w:w="60" w:type="dxa"/>
              <w:right w:w="60" w:type="dxa"/>
            </w:tcMar>
            <w:vAlign w:val="center"/>
          </w:tcPr>
          <w:p w14:paraId="1DFDFB59">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sz w:val="21"/>
                <w:szCs w:val="21"/>
              </w:rPr>
              <w:t>序号</w:t>
            </w:r>
          </w:p>
        </w:tc>
        <w:tc>
          <w:tcPr>
            <w:tcW w:w="1275" w:type="dxa"/>
            <w:shd w:val="clear" w:color="auto" w:fill="D7D7D7" w:themeFill="background1" w:themeFillShade="D8"/>
            <w:tcMar>
              <w:top w:w="60" w:type="dxa"/>
              <w:left w:w="60" w:type="dxa"/>
              <w:bottom w:w="60" w:type="dxa"/>
              <w:right w:w="60" w:type="dxa"/>
            </w:tcMar>
            <w:vAlign w:val="center"/>
          </w:tcPr>
          <w:p w14:paraId="0C6396C0">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sz w:val="21"/>
                <w:szCs w:val="21"/>
              </w:rPr>
              <w:t>功能模块</w:t>
            </w:r>
          </w:p>
        </w:tc>
        <w:tc>
          <w:tcPr>
            <w:tcW w:w="955" w:type="dxa"/>
            <w:shd w:val="clear" w:color="auto" w:fill="D7D7D7" w:themeFill="background1" w:themeFillShade="D8"/>
            <w:tcMar>
              <w:top w:w="60" w:type="dxa"/>
              <w:left w:w="60" w:type="dxa"/>
              <w:bottom w:w="60" w:type="dxa"/>
              <w:right w:w="60" w:type="dxa"/>
            </w:tcMar>
            <w:vAlign w:val="center"/>
          </w:tcPr>
          <w:p w14:paraId="6E44D5F2">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sz w:val="21"/>
                <w:szCs w:val="21"/>
              </w:rPr>
              <w:t>重要性</w:t>
            </w:r>
          </w:p>
        </w:tc>
        <w:tc>
          <w:tcPr>
            <w:tcW w:w="5848" w:type="dxa"/>
            <w:shd w:val="clear" w:color="auto" w:fill="D7D7D7" w:themeFill="background1" w:themeFillShade="D8"/>
            <w:tcMar>
              <w:top w:w="60" w:type="dxa"/>
              <w:left w:w="60" w:type="dxa"/>
              <w:bottom w:w="60" w:type="dxa"/>
              <w:right w:w="60" w:type="dxa"/>
            </w:tcMar>
            <w:vAlign w:val="center"/>
          </w:tcPr>
          <w:p w14:paraId="4AD85FB0">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sz w:val="21"/>
                <w:szCs w:val="21"/>
              </w:rPr>
              <w:t>指标要求</w:t>
            </w:r>
          </w:p>
        </w:tc>
      </w:tr>
      <w:tr w14:paraId="58A302A1">
        <w:trPr>
          <w:jc w:val="center"/>
        </w:trPr>
        <w:tc>
          <w:tcPr>
            <w:tcW w:w="700" w:type="dxa"/>
            <w:tcMar>
              <w:top w:w="60" w:type="dxa"/>
              <w:left w:w="60" w:type="dxa"/>
              <w:bottom w:w="60" w:type="dxa"/>
              <w:right w:w="60" w:type="dxa"/>
            </w:tcMar>
            <w:vAlign w:val="center"/>
          </w:tcPr>
          <w:p w14:paraId="037B2FF3">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1</w:t>
            </w:r>
          </w:p>
        </w:tc>
        <w:tc>
          <w:tcPr>
            <w:tcW w:w="1275" w:type="dxa"/>
            <w:tcMar>
              <w:top w:w="60" w:type="dxa"/>
              <w:left w:w="60" w:type="dxa"/>
              <w:bottom w:w="60" w:type="dxa"/>
              <w:right w:w="60" w:type="dxa"/>
            </w:tcMar>
            <w:vAlign w:val="center"/>
          </w:tcPr>
          <w:p w14:paraId="732404C9">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总体架构</w:t>
            </w:r>
          </w:p>
        </w:tc>
        <w:tc>
          <w:tcPr>
            <w:tcW w:w="955" w:type="dxa"/>
            <w:tcMar>
              <w:top w:w="60" w:type="dxa"/>
              <w:left w:w="60" w:type="dxa"/>
              <w:bottom w:w="60" w:type="dxa"/>
              <w:right w:w="60" w:type="dxa"/>
            </w:tcMar>
            <w:vAlign w:val="center"/>
          </w:tcPr>
          <w:p w14:paraId="415F3EA7">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083DA82B">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系统应采用B/S架构和模块化设计，支持院内私有化、本地化部署。本项目应基于医院既有住院电子病历、病案首页及集成平台开展建设，重点实现病历内涵质控、AI辅助分析、质控规则管理、缺陷闭环和病案首页质控能力增强；不得重复建设或替代既有住院电子病历系统的病历书写、编辑、打印、签名、归档、患者管理、基础权限管理等功能，相关功能应通过接口调用、页面嵌入、数据读取、结果回写或流程协同等方式与既有系统兼容衔接。</w:t>
            </w:r>
          </w:p>
        </w:tc>
      </w:tr>
      <w:tr w14:paraId="69558448">
        <w:trPr>
          <w:jc w:val="center"/>
        </w:trPr>
        <w:tc>
          <w:tcPr>
            <w:tcW w:w="700" w:type="dxa"/>
            <w:tcMar>
              <w:top w:w="60" w:type="dxa"/>
              <w:left w:w="60" w:type="dxa"/>
              <w:bottom w:w="60" w:type="dxa"/>
              <w:right w:w="60" w:type="dxa"/>
            </w:tcMar>
            <w:vAlign w:val="center"/>
          </w:tcPr>
          <w:p w14:paraId="16190578">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2</w:t>
            </w:r>
          </w:p>
        </w:tc>
        <w:tc>
          <w:tcPr>
            <w:tcW w:w="1275" w:type="dxa"/>
            <w:tcMar>
              <w:top w:w="60" w:type="dxa"/>
              <w:left w:w="60" w:type="dxa"/>
              <w:bottom w:w="60" w:type="dxa"/>
              <w:right w:w="60" w:type="dxa"/>
            </w:tcMar>
            <w:vAlign w:val="center"/>
          </w:tcPr>
          <w:p w14:paraId="01936B9C">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AI能力支撑</w:t>
            </w:r>
          </w:p>
        </w:tc>
        <w:tc>
          <w:tcPr>
            <w:tcW w:w="955" w:type="dxa"/>
            <w:tcMar>
              <w:top w:w="60" w:type="dxa"/>
              <w:left w:w="60" w:type="dxa"/>
              <w:bottom w:w="60" w:type="dxa"/>
              <w:right w:w="60" w:type="dxa"/>
            </w:tcMar>
            <w:vAlign w:val="center"/>
          </w:tcPr>
          <w:p w14:paraId="0AE907BF">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7922EBAD">
            <w:pPr>
              <w:jc w:val="both"/>
              <w:rPr>
                <w:rFonts w:hint="eastAsia" w:ascii="Times New Roman Regular" w:hAnsi="Times New Roman Regular" w:eastAsia="宋体" w:cs="Times New Roman Regular"/>
                <w:sz w:val="21"/>
                <w:szCs w:val="21"/>
                <w:lang w:eastAsia="zh-CN"/>
              </w:rPr>
            </w:pPr>
            <w:r>
              <w:rPr>
                <w:rFonts w:hint="default" w:ascii="Times New Roman Regular" w:hAnsi="Times New Roman Regular" w:eastAsia="宋体" w:cs="Times New Roman Regular"/>
                <w:b w:val="0"/>
                <w:sz w:val="21"/>
                <w:szCs w:val="21"/>
                <w:highlight w:val="none"/>
              </w:rPr>
              <w:t>系统应具备基于国产主流大模型、质控规则库和智能算法的病历文本理解与推理能力，支持对病历自由文本、结构化诊疗数据及多源临床资料进行综合分析；应支持医学实体识别、语义理解、上下文关联分析、诊疗逻辑推理、问题归因和整改建议生成，能够服务于病历质量审核、问题提示、整改建议、辅助书写和质控分析等场景；生成内容应提供必要依据或来源提示，可追溯至相关病历文书、检查检验结果、医嘱或规则依据，不得替代医师最终诊疗判断。</w:t>
            </w:r>
          </w:p>
        </w:tc>
      </w:tr>
      <w:tr w14:paraId="6732A35D">
        <w:trPr>
          <w:jc w:val="center"/>
        </w:trPr>
        <w:tc>
          <w:tcPr>
            <w:tcW w:w="700" w:type="dxa"/>
            <w:tcMar>
              <w:top w:w="60" w:type="dxa"/>
              <w:left w:w="60" w:type="dxa"/>
              <w:bottom w:w="60" w:type="dxa"/>
              <w:right w:w="60" w:type="dxa"/>
            </w:tcMar>
            <w:vAlign w:val="center"/>
          </w:tcPr>
          <w:p w14:paraId="453DE393">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3</w:t>
            </w:r>
          </w:p>
        </w:tc>
        <w:tc>
          <w:tcPr>
            <w:tcW w:w="1275" w:type="dxa"/>
            <w:tcMar>
              <w:top w:w="60" w:type="dxa"/>
              <w:left w:w="60" w:type="dxa"/>
              <w:bottom w:w="60" w:type="dxa"/>
              <w:right w:w="60" w:type="dxa"/>
            </w:tcMar>
            <w:vAlign w:val="center"/>
          </w:tcPr>
          <w:p w14:paraId="4B2EDFD1">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私有化与安全部署</w:t>
            </w:r>
          </w:p>
        </w:tc>
        <w:tc>
          <w:tcPr>
            <w:tcW w:w="955" w:type="dxa"/>
            <w:tcMar>
              <w:top w:w="60" w:type="dxa"/>
              <w:left w:w="60" w:type="dxa"/>
              <w:bottom w:w="60" w:type="dxa"/>
              <w:right w:w="60" w:type="dxa"/>
            </w:tcMar>
            <w:vAlign w:val="center"/>
          </w:tcPr>
          <w:p w14:paraId="4D7C2116">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2E2B0C5C">
            <w:pPr>
              <w:spacing w:after="0" w:line="252" w:lineRule="auto"/>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系统应支持在医院内网环境中部署和运行，患者病历、诊疗数据、质控结果、模型调用记录等数据不得向外部环境传输；应保障数据安全、访问安全和运行安全，并配合医院完成等保、审计及信息安全管理要求。</w:t>
            </w:r>
            <w:r>
              <w:rPr>
                <w:rFonts w:hint="eastAsia" w:ascii="Times New Roman Regular" w:hAnsi="Times New Roman Regular" w:eastAsia="宋体" w:cs="Times New Roman Regular"/>
                <w:b w:val="0"/>
                <w:sz w:val="21"/>
                <w:szCs w:val="21"/>
                <w:lang w:val="en-US" w:eastAsia="zh-CN"/>
              </w:rPr>
              <w:t>支持信创的免费升级和改造。</w:t>
            </w:r>
            <w:r>
              <w:rPr>
                <w:rFonts w:hint="default" w:ascii="Times New Roman Regular" w:hAnsi="Times New Roman Regular" w:eastAsia="宋体" w:cs="Times New Roman Regular"/>
                <w:b w:val="0"/>
                <w:sz w:val="21"/>
                <w:szCs w:val="21"/>
              </w:rPr>
              <w:t>本项目建设范围不包含新增服务器、存储、</w:t>
            </w:r>
            <w:r>
              <w:rPr>
                <w:rFonts w:hint="eastAsia" w:ascii="Times New Roman Regular" w:hAnsi="Times New Roman Regular" w:eastAsia="宋体" w:cs="Times New Roman Regular"/>
                <w:b w:val="0"/>
                <w:sz w:val="21"/>
                <w:szCs w:val="21"/>
                <w:lang w:val="en-US" w:eastAsia="zh-CN"/>
              </w:rPr>
              <w:t>加速卡</w:t>
            </w:r>
            <w:r>
              <w:rPr>
                <w:rFonts w:hint="default" w:ascii="Times New Roman Regular" w:hAnsi="Times New Roman Regular" w:eastAsia="宋体" w:cs="Times New Roman Regular"/>
                <w:b w:val="0"/>
                <w:sz w:val="21"/>
                <w:szCs w:val="21"/>
              </w:rPr>
              <w:t>等硬件设备采购，系统运行所需基础硬件、存储及AI算力资源由医院提供。投标人应根据系统AI分析、模型推理、质控规则调用、规则检索</w:t>
            </w:r>
            <w:r>
              <w:rPr>
                <w:rFonts w:hint="eastAsia" w:ascii="Times New Roman Regular" w:hAnsi="Times New Roman Regular" w:cs="Times New Roman Regular"/>
                <w:b w:val="0"/>
                <w:sz w:val="21"/>
                <w:szCs w:val="21"/>
                <w:lang w:eastAsia="zh-CN"/>
              </w:rPr>
              <w:t>、</w:t>
            </w:r>
            <w:r>
              <w:rPr>
                <w:rFonts w:hint="default" w:ascii="Times New Roman Regular" w:hAnsi="Times New Roman Regular" w:eastAsia="宋体" w:cs="Times New Roman Regular"/>
                <w:b w:val="0"/>
                <w:sz w:val="21"/>
                <w:szCs w:val="21"/>
              </w:rPr>
              <w:t>数据处理及并发访问需求，在投标文件中明确说明系统运行所需服务器、存储、</w:t>
            </w:r>
            <w:r>
              <w:rPr>
                <w:rFonts w:hint="eastAsia" w:ascii="Times New Roman Regular" w:hAnsi="Times New Roman Regular" w:eastAsia="宋体" w:cs="Times New Roman Regular"/>
                <w:b w:val="0"/>
                <w:sz w:val="21"/>
                <w:szCs w:val="21"/>
                <w:lang w:val="en-US" w:eastAsia="zh-CN"/>
              </w:rPr>
              <w:t>加速卡</w:t>
            </w:r>
            <w:r>
              <w:rPr>
                <w:rFonts w:hint="default" w:ascii="Times New Roman Regular" w:hAnsi="Times New Roman Regular" w:eastAsia="宋体" w:cs="Times New Roman Regular"/>
                <w:b w:val="0"/>
                <w:sz w:val="21"/>
                <w:szCs w:val="21"/>
              </w:rPr>
              <w:t>、操作系统、数据库、中间件等基础设施配置要求，并提供推荐配置、最低配置、部署架构及扩展建议。投标人应基于医院提供的基础设施完成系统部署适配、安装调试、接口联调、性能调优和上线运行，相关软件部署、环境适配、系统调试等实施服务费用</w:t>
            </w:r>
            <w:r>
              <w:rPr>
                <w:rFonts w:hint="default" w:ascii="Times New Roman Regular" w:hAnsi="Times New Roman Regular" w:eastAsia="宋体" w:cs="Times New Roman Regular"/>
                <w:b w:val="0"/>
                <w:sz w:val="21"/>
                <w:szCs w:val="21"/>
                <w:lang w:val="en-US" w:eastAsia="zh-CN"/>
              </w:rPr>
              <w:t>均</w:t>
            </w:r>
            <w:r>
              <w:rPr>
                <w:rFonts w:hint="default" w:ascii="Times New Roman Regular" w:hAnsi="Times New Roman Regular" w:eastAsia="宋体" w:cs="Times New Roman Regular"/>
                <w:b w:val="0"/>
                <w:sz w:val="21"/>
                <w:szCs w:val="21"/>
              </w:rPr>
              <w:t>包含在本项目报价中。</w:t>
            </w:r>
          </w:p>
        </w:tc>
      </w:tr>
      <w:tr w14:paraId="291A5067">
        <w:trPr>
          <w:jc w:val="center"/>
        </w:trPr>
        <w:tc>
          <w:tcPr>
            <w:tcW w:w="700" w:type="dxa"/>
            <w:tcMar>
              <w:top w:w="60" w:type="dxa"/>
              <w:left w:w="60" w:type="dxa"/>
              <w:bottom w:w="60" w:type="dxa"/>
              <w:right w:w="60" w:type="dxa"/>
            </w:tcMar>
            <w:vAlign w:val="center"/>
          </w:tcPr>
          <w:p w14:paraId="647F2ADE">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4</w:t>
            </w:r>
          </w:p>
        </w:tc>
        <w:tc>
          <w:tcPr>
            <w:tcW w:w="1275" w:type="dxa"/>
            <w:tcMar>
              <w:top w:w="60" w:type="dxa"/>
              <w:left w:w="60" w:type="dxa"/>
              <w:bottom w:w="60" w:type="dxa"/>
              <w:right w:w="60" w:type="dxa"/>
            </w:tcMar>
            <w:vAlign w:val="center"/>
          </w:tcPr>
          <w:p w14:paraId="21BB2A4C">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sz w:val="21"/>
                <w:szCs w:val="21"/>
              </w:rPr>
              <w:t>模型与规则库管理</w:t>
            </w:r>
          </w:p>
        </w:tc>
        <w:tc>
          <w:tcPr>
            <w:tcW w:w="955" w:type="dxa"/>
            <w:tcMar>
              <w:top w:w="60" w:type="dxa"/>
              <w:left w:w="60" w:type="dxa"/>
              <w:bottom w:w="60" w:type="dxa"/>
              <w:right w:w="60" w:type="dxa"/>
            </w:tcMar>
            <w:vAlign w:val="center"/>
          </w:tcPr>
          <w:p w14:paraId="0B44E45C">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30638599">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sz w:val="21"/>
                <w:szCs w:val="21"/>
              </w:rPr>
              <w:t>系统应支持质控规则库、本地化语料、提示词模板、术语映射规则和规则版本管理；支持基于循证医学证据、病历书写规范、诊疗规范、质量控制规则、诊断编码规则及医院本地制度进行模型能力优化和规则配置；支持规则内容、规则版本、模型调用记录、提示词模板、质控依据和规则变更的追溯。涉及模型训练、模型微调、规则优化或语料使用的，投标人应支持引入经合法授权、脱敏处理或公开发布的高水平医院病历质控经验、质控规则、典型案例、示范性文书模板及整改样例等资源，用于提升模型病历内涵质控能力；相关资料来源应合法合规，不得包含可识别患者身份的信息，不得侵犯第三方数据权益、知识产权及商业秘密。系统生成的提示、建议和依据应可解释、可查看、可复核。</w:t>
            </w:r>
          </w:p>
        </w:tc>
      </w:tr>
      <w:tr w14:paraId="00240C2F">
        <w:trPr>
          <w:jc w:val="center"/>
        </w:trPr>
        <w:tc>
          <w:tcPr>
            <w:tcW w:w="700" w:type="dxa"/>
            <w:shd w:val="clear" w:color="auto" w:fill="auto"/>
            <w:tcMar>
              <w:top w:w="60" w:type="dxa"/>
              <w:left w:w="60" w:type="dxa"/>
              <w:bottom w:w="60" w:type="dxa"/>
              <w:right w:w="60" w:type="dxa"/>
            </w:tcMar>
            <w:vAlign w:val="center"/>
          </w:tcPr>
          <w:p w14:paraId="312FCED6">
            <w:pPr>
              <w:spacing w:after="0" w:line="252" w:lineRule="auto"/>
              <w:jc w:val="center"/>
              <w:rPr>
                <w:rFonts w:hint="eastAsia"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5</w:t>
            </w:r>
          </w:p>
        </w:tc>
        <w:tc>
          <w:tcPr>
            <w:tcW w:w="1275" w:type="dxa"/>
            <w:tcMar>
              <w:top w:w="60" w:type="dxa"/>
              <w:left w:w="60" w:type="dxa"/>
              <w:bottom w:w="60" w:type="dxa"/>
              <w:right w:w="60" w:type="dxa"/>
            </w:tcMar>
            <w:vAlign w:val="center"/>
          </w:tcPr>
          <w:p w14:paraId="61111FCB">
            <w:pPr>
              <w:jc w:val="center"/>
              <w:rPr>
                <w:rFonts w:hint="default" w:ascii="Times New Roman Regular" w:hAnsi="Times New Roman Regular" w:eastAsia="宋体" w:cs="Times New Roman Regular"/>
                <w:b w:val="0"/>
                <w:sz w:val="21"/>
                <w:szCs w:val="21"/>
              </w:rPr>
            </w:pPr>
            <w:r>
              <w:rPr>
                <w:rFonts w:hint="default" w:ascii="Times New Roman Regular" w:hAnsi="Times New Roman Regular" w:eastAsia="宋体" w:cs="Times New Roman Regular"/>
                <w:sz w:val="21"/>
                <w:szCs w:val="21"/>
              </w:rPr>
              <w:t>规则库分类维护</w:t>
            </w:r>
          </w:p>
        </w:tc>
        <w:tc>
          <w:tcPr>
            <w:tcW w:w="955" w:type="dxa"/>
            <w:tcMar>
              <w:top w:w="60" w:type="dxa"/>
              <w:left w:w="60" w:type="dxa"/>
              <w:bottom w:w="60" w:type="dxa"/>
              <w:right w:w="60" w:type="dxa"/>
            </w:tcMar>
            <w:vAlign w:val="center"/>
          </w:tcPr>
          <w:p w14:paraId="195A2146">
            <w:pPr>
              <w:jc w:val="center"/>
              <w:rPr>
                <w:rFonts w:hint="eastAsia" w:ascii="Times New Roman Regular" w:hAnsi="Times New Roman Regular" w:eastAsia="宋体" w:cs="Times New Roman Regular"/>
                <w:b w:val="0"/>
                <w:sz w:val="21"/>
                <w:szCs w:val="21"/>
                <w:lang w:val="en-US" w:eastAsia="zh-CN"/>
              </w:rPr>
            </w:pPr>
            <w:r>
              <w:rPr>
                <w:rFonts w:hint="eastAsia" w:ascii="Times New Roman Regular" w:hAnsi="Times New Roman Regular" w:cs="Times New Roman Regular"/>
                <w:b w:val="0"/>
                <w:sz w:val="21"/>
                <w:szCs w:val="21"/>
                <w:lang w:val="en-US" w:eastAsia="zh-CN"/>
              </w:rPr>
              <w:t>-</w:t>
            </w:r>
          </w:p>
        </w:tc>
        <w:tc>
          <w:tcPr>
            <w:tcW w:w="5848" w:type="dxa"/>
            <w:tcMar>
              <w:top w:w="60" w:type="dxa"/>
              <w:left w:w="60" w:type="dxa"/>
              <w:bottom w:w="60" w:type="dxa"/>
              <w:right w:w="60" w:type="dxa"/>
            </w:tcMar>
            <w:vAlign w:val="center"/>
          </w:tcPr>
          <w:p w14:paraId="321AC2D6">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sz w:val="21"/>
                <w:szCs w:val="21"/>
              </w:rPr>
              <w:t>系统应支持质控规则分类管理和规则逻辑配置，质控规则分类包括但不限于文书缺失质控库、文书时效质控库、数值合理质控库、文书重复规则库、文书一致质控库、文书多源一致质控库、病历诊断质控库、专病逻辑质控库、真实病情质控库、诊治分析质控库、书写预警库、核心制度库、医疗质量质控库等；支持根据医院管理要求对质控规则进行新增、修改、启停和版本维护。</w:t>
            </w:r>
          </w:p>
        </w:tc>
      </w:tr>
      <w:tr w14:paraId="680DA0B3">
        <w:trPr>
          <w:jc w:val="center"/>
        </w:trPr>
        <w:tc>
          <w:tcPr>
            <w:tcW w:w="700" w:type="dxa"/>
            <w:shd w:val="clear" w:color="auto" w:fill="auto"/>
            <w:tcMar>
              <w:top w:w="60" w:type="dxa"/>
              <w:left w:w="60" w:type="dxa"/>
              <w:bottom w:w="60" w:type="dxa"/>
              <w:right w:w="60" w:type="dxa"/>
            </w:tcMar>
            <w:vAlign w:val="center"/>
          </w:tcPr>
          <w:p w14:paraId="56B4726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6</w:t>
            </w:r>
          </w:p>
        </w:tc>
        <w:tc>
          <w:tcPr>
            <w:tcW w:w="1275" w:type="dxa"/>
            <w:tcMar>
              <w:top w:w="60" w:type="dxa"/>
              <w:left w:w="60" w:type="dxa"/>
              <w:bottom w:w="60" w:type="dxa"/>
              <w:right w:w="60" w:type="dxa"/>
            </w:tcMar>
            <w:vAlign w:val="center"/>
          </w:tcPr>
          <w:p w14:paraId="004463FB">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多源数据接入</w:t>
            </w:r>
          </w:p>
        </w:tc>
        <w:tc>
          <w:tcPr>
            <w:tcW w:w="955" w:type="dxa"/>
            <w:tcMar>
              <w:top w:w="60" w:type="dxa"/>
              <w:left w:w="60" w:type="dxa"/>
              <w:bottom w:w="60" w:type="dxa"/>
              <w:right w:w="60" w:type="dxa"/>
            </w:tcMar>
            <w:vAlign w:val="center"/>
          </w:tcPr>
          <w:p w14:paraId="7E16FCFE">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722EF955">
            <w:pPr>
              <w:spacing w:after="0" w:line="252" w:lineRule="auto"/>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sz w:val="21"/>
                <w:szCs w:val="21"/>
              </w:rPr>
              <w:t>系统应支持与医院现有HIS、EMR、LIS、PACS/RIS、手术麻醉、护理、病理、医嘱、病案、集成平台等相关系统进行数据对接，获取病历文书、医嘱、诊断、检查检验、手术、护理、病理及患者基本信息等质控所需数据</w:t>
            </w:r>
            <w:r>
              <w:rPr>
                <w:rFonts w:hint="default" w:ascii="Times New Roman Regular" w:hAnsi="Times New Roman Regular" w:eastAsia="宋体" w:cs="Times New Roman Regular"/>
                <w:sz w:val="21"/>
                <w:szCs w:val="21"/>
                <w:lang w:eastAsia="zh-CN"/>
              </w:rPr>
              <w:t>；涉及医院现有第三方系统配合、接口开放、联调测试及必要改造的，投标人应作为本项目系统对接工作的牵头实施方，负责对接需求梳理、接口方案编制、厂商沟通协调、联调测试组织、问题跟踪处理、上线验证及相关文档交付等工作；因本项目建设所需产生的接口开发、系统联调、适配改造及多厂商协同相关费用均应包含在投标报价中，医院不再另行支付</w:t>
            </w:r>
            <w:r>
              <w:rPr>
                <w:rFonts w:hint="default" w:ascii="Times New Roman Regular" w:hAnsi="Times New Roman Regular" w:eastAsia="宋体" w:cs="Times New Roman Regular"/>
                <w:b w:val="0"/>
                <w:sz w:val="21"/>
                <w:szCs w:val="21"/>
                <w:lang w:eastAsia="zh-CN"/>
              </w:rPr>
              <w:t>。</w:t>
            </w:r>
          </w:p>
        </w:tc>
      </w:tr>
      <w:tr w14:paraId="27D47B0F">
        <w:trPr>
          <w:jc w:val="center"/>
        </w:trPr>
        <w:tc>
          <w:tcPr>
            <w:tcW w:w="700" w:type="dxa"/>
            <w:shd w:val="clear" w:color="auto" w:fill="auto"/>
            <w:tcMar>
              <w:top w:w="60" w:type="dxa"/>
              <w:left w:w="60" w:type="dxa"/>
              <w:bottom w:w="60" w:type="dxa"/>
              <w:right w:w="60" w:type="dxa"/>
            </w:tcMar>
            <w:vAlign w:val="center"/>
          </w:tcPr>
          <w:p w14:paraId="3BA260E1">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7</w:t>
            </w:r>
          </w:p>
        </w:tc>
        <w:tc>
          <w:tcPr>
            <w:tcW w:w="1275" w:type="dxa"/>
            <w:tcMar>
              <w:top w:w="60" w:type="dxa"/>
              <w:left w:w="60" w:type="dxa"/>
              <w:bottom w:w="60" w:type="dxa"/>
              <w:right w:w="60" w:type="dxa"/>
            </w:tcMar>
            <w:vAlign w:val="center"/>
          </w:tcPr>
          <w:p w14:paraId="5FE055E3">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数据采集与同步</w:t>
            </w:r>
          </w:p>
        </w:tc>
        <w:tc>
          <w:tcPr>
            <w:tcW w:w="955" w:type="dxa"/>
            <w:tcMar>
              <w:top w:w="60" w:type="dxa"/>
              <w:left w:w="60" w:type="dxa"/>
              <w:bottom w:w="60" w:type="dxa"/>
              <w:right w:w="60" w:type="dxa"/>
            </w:tcMar>
            <w:vAlign w:val="center"/>
          </w:tcPr>
          <w:p w14:paraId="4F41689E">
            <w:pPr>
              <w:jc w:val="center"/>
              <w:rPr>
                <w:rFonts w:hint="eastAsia" w:ascii="Times New Roman Regular" w:hAnsi="Times New Roman Regular" w:eastAsia="宋体" w:cs="Times New Roman Regular"/>
                <w:sz w:val="21"/>
                <w:szCs w:val="21"/>
                <w:lang w:val="en-US" w:eastAsia="zh-CN"/>
              </w:rPr>
            </w:pPr>
            <w:r>
              <w:rPr>
                <w:rFonts w:hint="eastAsia" w:ascii="Times New Roman Regular" w:hAnsi="Times New Roman Regular" w:cs="Times New Roman Regular"/>
                <w:sz w:val="21"/>
                <w:szCs w:val="21"/>
                <w:lang w:val="en-US" w:eastAsia="zh-CN"/>
              </w:rPr>
              <w:t>-</w:t>
            </w:r>
          </w:p>
        </w:tc>
        <w:tc>
          <w:tcPr>
            <w:tcW w:w="5848" w:type="dxa"/>
            <w:tcMar>
              <w:top w:w="60" w:type="dxa"/>
              <w:left w:w="60" w:type="dxa"/>
              <w:bottom w:w="60" w:type="dxa"/>
              <w:right w:w="60" w:type="dxa"/>
            </w:tcMar>
            <w:vAlign w:val="center"/>
          </w:tcPr>
          <w:p w14:paraId="23EF0022">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系统应支持结构化、半结构化和非结构化医疗数据的采集与汇聚，支持主流数据库、接口服务、文件等方式接入，支持批量同步、增量同步和必要的实时同步；采集范围应覆盖门诊/住院病历、医嘱、检查检验、病理、护理、手术麻醉、危急值、费用、病案首页等质控所需数据，并提供同步状态、异常日志、失败重试和数据补采机制。</w:t>
            </w:r>
          </w:p>
        </w:tc>
      </w:tr>
      <w:tr w14:paraId="0AD54D43">
        <w:trPr>
          <w:jc w:val="center"/>
        </w:trPr>
        <w:tc>
          <w:tcPr>
            <w:tcW w:w="700" w:type="dxa"/>
            <w:shd w:val="clear" w:color="auto" w:fill="auto"/>
            <w:tcMar>
              <w:top w:w="60" w:type="dxa"/>
              <w:left w:w="60" w:type="dxa"/>
              <w:bottom w:w="60" w:type="dxa"/>
              <w:right w:w="60" w:type="dxa"/>
            </w:tcMar>
            <w:vAlign w:val="center"/>
          </w:tcPr>
          <w:p w14:paraId="73509FAB">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8</w:t>
            </w:r>
          </w:p>
        </w:tc>
        <w:tc>
          <w:tcPr>
            <w:tcW w:w="1275" w:type="dxa"/>
            <w:tcMar>
              <w:top w:w="60" w:type="dxa"/>
              <w:left w:w="60" w:type="dxa"/>
              <w:bottom w:w="60" w:type="dxa"/>
              <w:right w:w="60" w:type="dxa"/>
            </w:tcMar>
            <w:vAlign w:val="center"/>
          </w:tcPr>
          <w:p w14:paraId="3A40E6A4">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数据标准化与质量管理</w:t>
            </w:r>
          </w:p>
        </w:tc>
        <w:tc>
          <w:tcPr>
            <w:tcW w:w="955" w:type="dxa"/>
            <w:tcMar>
              <w:top w:w="60" w:type="dxa"/>
              <w:left w:w="60" w:type="dxa"/>
              <w:bottom w:w="60" w:type="dxa"/>
              <w:right w:w="60" w:type="dxa"/>
            </w:tcMar>
            <w:vAlign w:val="center"/>
          </w:tcPr>
          <w:p w14:paraId="3B45FD1C">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7D92FA3A">
            <w:pPr>
              <w:jc w:val="both"/>
              <w:rPr>
                <w:rFonts w:hint="default" w:ascii="Times New Roman Regular" w:hAnsi="Times New Roman Regular" w:eastAsia="宋体" w:cs="Times New Roman Regular"/>
                <w:sz w:val="21"/>
                <w:szCs w:val="21"/>
                <w:lang w:eastAsia="zh-CN"/>
              </w:rPr>
            </w:pPr>
            <w:r>
              <w:rPr>
                <w:rFonts w:hint="default" w:ascii="Times New Roman Regular" w:hAnsi="Times New Roman Regular" w:eastAsia="宋体" w:cs="Times New Roman Regular"/>
                <w:b w:val="0"/>
                <w:sz w:val="21"/>
                <w:szCs w:val="21"/>
                <w:lang w:eastAsia="zh-CN"/>
              </w:rPr>
              <w:t>系统应支持对不同系统来源的数据进行字段映射、格式转换、编码标准化、数据去重、缺失识别、异常标记和数据清洗；应建立统一数据字典和数据质量校验规则，支持按业务项目查看完整性、关联性、时序一致性、编码对照等数据质量情况，并支持问题数据核查、追踪和闭环处理；支持对自由文本病历、检查检验报告、护理记录、病理报告等非结构化医疗文本进行医学实体识别、语义抽取和结构化处理，形成可供质控规则和AI分析调用的标准化数据。</w:t>
            </w:r>
          </w:p>
        </w:tc>
      </w:tr>
      <w:tr w14:paraId="1634E9BE">
        <w:trPr>
          <w:jc w:val="center"/>
        </w:trPr>
        <w:tc>
          <w:tcPr>
            <w:tcW w:w="700" w:type="dxa"/>
            <w:shd w:val="clear" w:color="auto" w:fill="auto"/>
            <w:tcMar>
              <w:top w:w="60" w:type="dxa"/>
              <w:left w:w="60" w:type="dxa"/>
              <w:bottom w:w="60" w:type="dxa"/>
              <w:right w:w="60" w:type="dxa"/>
            </w:tcMar>
            <w:vAlign w:val="center"/>
          </w:tcPr>
          <w:p w14:paraId="27276F93">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9</w:t>
            </w:r>
          </w:p>
        </w:tc>
        <w:tc>
          <w:tcPr>
            <w:tcW w:w="1275" w:type="dxa"/>
            <w:tcMar>
              <w:top w:w="60" w:type="dxa"/>
              <w:left w:w="60" w:type="dxa"/>
              <w:bottom w:w="60" w:type="dxa"/>
              <w:right w:w="60" w:type="dxa"/>
            </w:tcMar>
            <w:vAlign w:val="center"/>
          </w:tcPr>
          <w:p w14:paraId="65C82A28">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医生端嵌入式提醒与卡控</w:t>
            </w:r>
          </w:p>
        </w:tc>
        <w:tc>
          <w:tcPr>
            <w:tcW w:w="955" w:type="dxa"/>
            <w:tcMar>
              <w:top w:w="60" w:type="dxa"/>
              <w:left w:w="60" w:type="dxa"/>
              <w:bottom w:w="60" w:type="dxa"/>
              <w:right w:w="60" w:type="dxa"/>
            </w:tcMar>
            <w:vAlign w:val="center"/>
          </w:tcPr>
          <w:p w14:paraId="47B3CBB5">
            <w:pPr>
              <w:jc w:val="center"/>
              <w:rPr>
                <w:rFonts w:hint="eastAsia" w:ascii="Times New Roman Regular" w:hAnsi="Times New Roman Regular" w:eastAsia="宋体" w:cs="Times New Roman Regular"/>
                <w:sz w:val="21"/>
                <w:szCs w:val="21"/>
                <w:lang w:eastAsia="zh-CN"/>
              </w:rPr>
            </w:pPr>
            <w:r>
              <w:rPr>
                <w:rFonts w:hint="default" w:ascii="Times New Roman Regular" w:hAnsi="Times New Roman Regular" w:eastAsia="宋体" w:cs="Times New Roman Regular"/>
                <w:b w:val="0"/>
                <w:sz w:val="21"/>
                <w:szCs w:val="21"/>
              </w:rPr>
              <w:t>▲</w:t>
            </w:r>
          </w:p>
        </w:tc>
        <w:tc>
          <w:tcPr>
            <w:tcW w:w="5848" w:type="dxa"/>
            <w:tcMar>
              <w:top w:w="60" w:type="dxa"/>
              <w:left w:w="60" w:type="dxa"/>
              <w:bottom w:w="60" w:type="dxa"/>
              <w:right w:w="60" w:type="dxa"/>
            </w:tcMar>
            <w:vAlign w:val="center"/>
          </w:tcPr>
          <w:p w14:paraId="78817E56">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sz w:val="21"/>
                <w:szCs w:val="21"/>
              </w:rPr>
              <w:t>系统应支持通过页面嵌入、单点登录、消息提醒等方式与医生工作站或电子病历书写界面进行集成，在医生保存、提交或完成病历文书时触发质控提醒；医生无需切换至独立系统即可查看质控提醒、预警、通知和整改建议；系统应支持与医院现有临床辅助决策系统或相关业务系统协同集成，避免重复弹窗和多入口操作；对未整改重大缺陷或单项否决类缺陷，支持根据医院管理规则及现有系统接口条件进行提醒或流程卡控。</w:t>
            </w:r>
          </w:p>
        </w:tc>
      </w:tr>
      <w:tr w14:paraId="3AD881B3">
        <w:trPr>
          <w:jc w:val="center"/>
        </w:trPr>
        <w:tc>
          <w:tcPr>
            <w:tcW w:w="700" w:type="dxa"/>
            <w:shd w:val="clear" w:color="auto" w:fill="auto"/>
            <w:tcMar>
              <w:top w:w="60" w:type="dxa"/>
              <w:left w:w="60" w:type="dxa"/>
              <w:bottom w:w="60" w:type="dxa"/>
              <w:right w:w="60" w:type="dxa"/>
            </w:tcMar>
            <w:vAlign w:val="center"/>
          </w:tcPr>
          <w:p w14:paraId="2A1E0B09">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10</w:t>
            </w:r>
          </w:p>
        </w:tc>
        <w:tc>
          <w:tcPr>
            <w:tcW w:w="1275" w:type="dxa"/>
            <w:tcMar>
              <w:top w:w="60" w:type="dxa"/>
              <w:left w:w="60" w:type="dxa"/>
              <w:bottom w:w="60" w:type="dxa"/>
              <w:right w:w="60" w:type="dxa"/>
            </w:tcMar>
            <w:vAlign w:val="center"/>
          </w:tcPr>
          <w:p w14:paraId="479A0044">
            <w:pPr>
              <w:spacing w:after="0" w:line="252" w:lineRule="auto"/>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问题提示与原文定位</w:t>
            </w:r>
          </w:p>
        </w:tc>
        <w:tc>
          <w:tcPr>
            <w:tcW w:w="955" w:type="dxa"/>
            <w:tcMar>
              <w:top w:w="60" w:type="dxa"/>
              <w:left w:w="60" w:type="dxa"/>
              <w:bottom w:w="60" w:type="dxa"/>
              <w:right w:w="60" w:type="dxa"/>
            </w:tcMar>
            <w:vAlign w:val="center"/>
          </w:tcPr>
          <w:p w14:paraId="1E15034A">
            <w:pPr>
              <w:spacing w:after="0" w:line="252" w:lineRule="auto"/>
              <w:jc w:val="center"/>
              <w:rPr>
                <w:rFonts w:hint="eastAsia" w:ascii="Times New Roman Regular" w:hAnsi="Times New Roman Regular" w:eastAsia="宋体" w:cs="Times New Roman Regular"/>
                <w:sz w:val="21"/>
                <w:szCs w:val="21"/>
                <w:lang w:eastAsia="zh-CN"/>
              </w:rPr>
            </w:pPr>
            <w:r>
              <w:rPr>
                <w:rFonts w:hint="eastAsia" w:ascii="Times New Roman Regular" w:hAnsi="Times New Roman Regular" w:cs="Times New Roman Regular"/>
                <w:b w:val="0"/>
                <w:sz w:val="21"/>
                <w:szCs w:val="21"/>
                <w:lang w:val="en-US" w:eastAsia="zh-CN"/>
              </w:rPr>
              <w:t>-</w:t>
            </w:r>
          </w:p>
        </w:tc>
        <w:tc>
          <w:tcPr>
            <w:tcW w:w="5848" w:type="dxa"/>
            <w:tcMar>
              <w:top w:w="60" w:type="dxa"/>
              <w:left w:w="60" w:type="dxa"/>
              <w:bottom w:w="60" w:type="dxa"/>
              <w:right w:w="60" w:type="dxa"/>
            </w:tcMar>
            <w:vAlign w:val="center"/>
          </w:tcPr>
          <w:p w14:paraId="5A608D48">
            <w:pPr>
              <w:spacing w:after="0" w:line="252" w:lineRule="auto"/>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系统应支持按文书类型展示病历缺陷，能够定位到相关病历段落、字段或原文位置；对时限超期、重要缺陷、单项否决类问题应提供醒目标识，并支持缺陷修正后自动刷新质控结果。</w:t>
            </w:r>
          </w:p>
        </w:tc>
      </w:tr>
      <w:tr w14:paraId="07205190">
        <w:trPr>
          <w:jc w:val="center"/>
        </w:trPr>
        <w:tc>
          <w:tcPr>
            <w:tcW w:w="700" w:type="dxa"/>
            <w:shd w:val="clear" w:color="auto" w:fill="auto"/>
            <w:tcMar>
              <w:top w:w="60" w:type="dxa"/>
              <w:left w:w="60" w:type="dxa"/>
              <w:bottom w:w="60" w:type="dxa"/>
              <w:right w:w="60" w:type="dxa"/>
            </w:tcMar>
            <w:vAlign w:val="center"/>
          </w:tcPr>
          <w:p w14:paraId="72225488">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11</w:t>
            </w:r>
          </w:p>
        </w:tc>
        <w:tc>
          <w:tcPr>
            <w:tcW w:w="1275" w:type="dxa"/>
            <w:shd w:val="clear" w:color="auto" w:fill="auto"/>
            <w:tcMar>
              <w:top w:w="60" w:type="dxa"/>
              <w:left w:w="60" w:type="dxa"/>
              <w:bottom w:w="60" w:type="dxa"/>
              <w:right w:w="60" w:type="dxa"/>
            </w:tcMar>
            <w:vAlign w:val="center"/>
          </w:tcPr>
          <w:p w14:paraId="3146E131">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文书完整性与时效性质控</w:t>
            </w:r>
          </w:p>
        </w:tc>
        <w:tc>
          <w:tcPr>
            <w:tcW w:w="955" w:type="dxa"/>
            <w:shd w:val="clear" w:color="auto" w:fill="auto"/>
            <w:tcMar>
              <w:top w:w="60" w:type="dxa"/>
              <w:left w:w="60" w:type="dxa"/>
              <w:bottom w:w="60" w:type="dxa"/>
              <w:right w:w="60" w:type="dxa"/>
            </w:tcMar>
            <w:vAlign w:val="center"/>
          </w:tcPr>
          <w:p w14:paraId="7F6BAC7B">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32387DD7">
            <w:pPr>
              <w:spacing w:after="0" w:line="252" w:lineRule="auto"/>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highlight w:val="none"/>
              </w:rPr>
              <w:t>系统应对入院记录、首次病程记录、日常病程记录、上级医师查房记录、术前小结、术前讨论、手术记录、术后首次病程、抢救记录、输血记录、会诊记录、出院记录、死亡记录等文书进行完整性和时效性审核；通过识别分析医嘱、检查检验结果、麻醉记录、会诊记录等相关业务数据，识别必填内容缺失、关键诊疗要素缺漏、重要记录不完整、完成时限超期等问题。</w:t>
            </w:r>
          </w:p>
        </w:tc>
      </w:tr>
      <w:tr w14:paraId="776931C4">
        <w:trPr>
          <w:jc w:val="center"/>
        </w:trPr>
        <w:tc>
          <w:tcPr>
            <w:tcW w:w="700" w:type="dxa"/>
            <w:shd w:val="clear" w:color="auto" w:fill="auto"/>
            <w:tcMar>
              <w:top w:w="60" w:type="dxa"/>
              <w:left w:w="60" w:type="dxa"/>
              <w:bottom w:w="60" w:type="dxa"/>
              <w:right w:w="60" w:type="dxa"/>
            </w:tcMar>
            <w:vAlign w:val="center"/>
          </w:tcPr>
          <w:p w14:paraId="41023199">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12</w:t>
            </w:r>
          </w:p>
        </w:tc>
        <w:tc>
          <w:tcPr>
            <w:tcW w:w="1275" w:type="dxa"/>
            <w:shd w:val="clear" w:color="auto" w:fill="auto"/>
            <w:tcMar>
              <w:top w:w="60" w:type="dxa"/>
              <w:left w:w="60" w:type="dxa"/>
              <w:bottom w:w="60" w:type="dxa"/>
              <w:right w:w="60" w:type="dxa"/>
            </w:tcMar>
            <w:vAlign w:val="center"/>
          </w:tcPr>
          <w:p w14:paraId="48773360">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文书一致性质控</w:t>
            </w:r>
          </w:p>
        </w:tc>
        <w:tc>
          <w:tcPr>
            <w:tcW w:w="955" w:type="dxa"/>
            <w:shd w:val="clear" w:color="auto" w:fill="auto"/>
            <w:tcMar>
              <w:top w:w="60" w:type="dxa"/>
              <w:left w:w="60" w:type="dxa"/>
              <w:bottom w:w="60" w:type="dxa"/>
              <w:right w:w="60" w:type="dxa"/>
            </w:tcMar>
            <w:vAlign w:val="center"/>
          </w:tcPr>
          <w:p w14:paraId="11592EE2">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14D3BFF0">
            <w:pPr>
              <w:spacing w:after="0" w:line="252" w:lineRule="auto"/>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系统应支持对病历内部及病历与诊疗数据之间的一致性进行审核，包括主诉与现病史、诊断与病史、</w:t>
            </w:r>
            <w:r>
              <w:rPr>
                <w:rFonts w:hint="eastAsia" w:ascii="Times New Roman Regular" w:hAnsi="Times New Roman Regular" w:cs="Times New Roman Regular"/>
                <w:b w:val="0"/>
                <w:sz w:val="21"/>
                <w:szCs w:val="21"/>
                <w:highlight w:val="none"/>
                <w:lang w:val="en-US" w:eastAsia="zh-CN"/>
              </w:rPr>
              <w:t>手术相关文书与麻醉记录</w:t>
            </w:r>
            <w:r>
              <w:rPr>
                <w:rFonts w:hint="default" w:ascii="Times New Roman Regular" w:hAnsi="Times New Roman Regular" w:eastAsia="宋体" w:cs="Times New Roman Regular"/>
                <w:b w:val="0"/>
                <w:sz w:val="21"/>
                <w:szCs w:val="21"/>
              </w:rPr>
              <w:t>、医嘱与病程记录、检查检验结果与病程分析、出院记录与住院过程等内容之间的逻辑一致性。</w:t>
            </w:r>
          </w:p>
        </w:tc>
      </w:tr>
      <w:tr w14:paraId="38D0541E">
        <w:trPr>
          <w:jc w:val="center"/>
        </w:trPr>
        <w:tc>
          <w:tcPr>
            <w:tcW w:w="700" w:type="dxa"/>
            <w:shd w:val="clear" w:color="auto" w:fill="auto"/>
            <w:tcMar>
              <w:top w:w="60" w:type="dxa"/>
              <w:left w:w="60" w:type="dxa"/>
              <w:bottom w:w="60" w:type="dxa"/>
              <w:right w:w="60" w:type="dxa"/>
            </w:tcMar>
            <w:vAlign w:val="center"/>
          </w:tcPr>
          <w:p w14:paraId="6B46A446">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13</w:t>
            </w:r>
          </w:p>
        </w:tc>
        <w:tc>
          <w:tcPr>
            <w:tcW w:w="1275" w:type="dxa"/>
            <w:shd w:val="clear" w:color="auto" w:fill="auto"/>
            <w:tcMar>
              <w:top w:w="60" w:type="dxa"/>
              <w:left w:w="60" w:type="dxa"/>
              <w:bottom w:w="60" w:type="dxa"/>
              <w:right w:w="60" w:type="dxa"/>
            </w:tcMar>
            <w:vAlign w:val="center"/>
          </w:tcPr>
          <w:p w14:paraId="46EAF498">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诊疗合理性质控</w:t>
            </w:r>
          </w:p>
        </w:tc>
        <w:tc>
          <w:tcPr>
            <w:tcW w:w="955" w:type="dxa"/>
            <w:shd w:val="clear" w:color="auto" w:fill="auto"/>
            <w:tcMar>
              <w:top w:w="60" w:type="dxa"/>
              <w:left w:w="60" w:type="dxa"/>
              <w:bottom w:w="60" w:type="dxa"/>
              <w:right w:w="60" w:type="dxa"/>
            </w:tcMar>
            <w:vAlign w:val="center"/>
          </w:tcPr>
          <w:p w14:paraId="22F1C8E5">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13B36E8B">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系统应支持对诊疗过程合理性、真实病情记录和诊治分析过程进行提示，包括异常检查检验结果未分析、重要阳性结果未记录、用药</w:t>
            </w:r>
            <w:r>
              <w:rPr>
                <w:rFonts w:hint="eastAsia" w:ascii="Times New Roman Regular" w:hAnsi="Times New Roman Regular" w:cs="Times New Roman Regular"/>
                <w:b w:val="0"/>
                <w:sz w:val="21"/>
                <w:szCs w:val="21"/>
                <w:highlight w:val="none"/>
                <w:lang w:val="en-US" w:eastAsia="zh-CN"/>
              </w:rPr>
              <w:t>(如</w:t>
            </w:r>
            <w:r>
              <w:rPr>
                <w:rFonts w:hint="default" w:ascii="Times New Roman Regular" w:hAnsi="Times New Roman Regular" w:eastAsia="宋体" w:cs="Times New Roman Regular"/>
                <w:b w:val="0"/>
                <w:sz w:val="21"/>
                <w:szCs w:val="21"/>
                <w:highlight w:val="none"/>
              </w:rPr>
              <w:t>抗菌药物</w:t>
            </w:r>
            <w:r>
              <w:rPr>
                <w:rFonts w:hint="eastAsia" w:ascii="Times New Roman Regular" w:hAnsi="Times New Roman Regular" w:cs="Times New Roman Regular"/>
                <w:b w:val="0"/>
                <w:sz w:val="21"/>
                <w:szCs w:val="21"/>
                <w:highlight w:val="none"/>
                <w:lang w:val="en-US" w:eastAsia="zh-CN"/>
              </w:rPr>
              <w:t>)</w:t>
            </w:r>
            <w:r>
              <w:rPr>
                <w:rFonts w:hint="default" w:ascii="Times New Roman Regular" w:hAnsi="Times New Roman Regular" w:eastAsia="宋体" w:cs="Times New Roman Regular"/>
                <w:b w:val="0"/>
                <w:sz w:val="21"/>
                <w:szCs w:val="21"/>
              </w:rPr>
              <w:t>使用缺少病程说明、有创操作缺少术后注意事项、抢救记录与医嘱不匹配、出院前缺少上级医师意见、诊断依据不足、治疗方案变更未记录等问题。</w:t>
            </w:r>
          </w:p>
        </w:tc>
      </w:tr>
      <w:tr w14:paraId="0060A647">
        <w:trPr>
          <w:jc w:val="center"/>
        </w:trPr>
        <w:tc>
          <w:tcPr>
            <w:tcW w:w="700" w:type="dxa"/>
            <w:shd w:val="clear" w:color="auto" w:fill="auto"/>
            <w:tcMar>
              <w:top w:w="60" w:type="dxa"/>
              <w:left w:w="60" w:type="dxa"/>
              <w:bottom w:w="60" w:type="dxa"/>
              <w:right w:w="60" w:type="dxa"/>
            </w:tcMar>
            <w:vAlign w:val="center"/>
          </w:tcPr>
          <w:p w14:paraId="04FAF575">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14</w:t>
            </w:r>
          </w:p>
        </w:tc>
        <w:tc>
          <w:tcPr>
            <w:tcW w:w="1275" w:type="dxa"/>
            <w:shd w:val="clear" w:color="auto" w:fill="auto"/>
            <w:tcMar>
              <w:top w:w="60" w:type="dxa"/>
              <w:left w:w="60" w:type="dxa"/>
              <w:bottom w:w="60" w:type="dxa"/>
              <w:right w:w="60" w:type="dxa"/>
            </w:tcMar>
            <w:vAlign w:val="center"/>
          </w:tcPr>
          <w:p w14:paraId="3431D734">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客观逻辑与基础规则质控</w:t>
            </w:r>
          </w:p>
        </w:tc>
        <w:tc>
          <w:tcPr>
            <w:tcW w:w="955" w:type="dxa"/>
            <w:shd w:val="clear" w:color="auto" w:fill="auto"/>
            <w:tcMar>
              <w:top w:w="60" w:type="dxa"/>
              <w:left w:w="60" w:type="dxa"/>
              <w:bottom w:w="60" w:type="dxa"/>
              <w:right w:w="60" w:type="dxa"/>
            </w:tcMar>
            <w:vAlign w:val="center"/>
          </w:tcPr>
          <w:p w14:paraId="5C5E92DB">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522E0305">
            <w:pPr>
              <w:spacing w:after="0" w:line="252" w:lineRule="auto"/>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系统应识别病历中明显客观矛盾或基础逻辑错误，包括性别与病史描述不符、</w:t>
            </w:r>
            <w:r>
              <w:rPr>
                <w:rFonts w:hint="eastAsia" w:ascii="Times New Roman Regular" w:hAnsi="Times New Roman Regular" w:cs="Times New Roman Regular"/>
                <w:b w:val="0"/>
                <w:sz w:val="21"/>
                <w:szCs w:val="21"/>
                <w:highlight w:val="none"/>
                <w:lang w:val="en-US" w:eastAsia="zh-CN"/>
              </w:rPr>
              <w:t>血压体温等数值异常、</w:t>
            </w:r>
            <w:r>
              <w:rPr>
                <w:rFonts w:hint="default" w:ascii="Times New Roman Regular" w:hAnsi="Times New Roman Regular" w:eastAsia="宋体" w:cs="Times New Roman Regular"/>
                <w:b w:val="0"/>
                <w:sz w:val="21"/>
                <w:szCs w:val="21"/>
                <w:highlight w:val="none"/>
              </w:rPr>
              <w:t>年</w:t>
            </w:r>
            <w:r>
              <w:rPr>
                <w:rFonts w:hint="default" w:ascii="Times New Roman Regular" w:hAnsi="Times New Roman Regular" w:eastAsia="宋体" w:cs="Times New Roman Regular"/>
                <w:b w:val="0"/>
                <w:sz w:val="21"/>
                <w:szCs w:val="21"/>
              </w:rPr>
              <w:t>龄与婚育史不符、诊疗时间顺序异常、联系人或患者信息异常、手术时间与麻醉系统记录不一致等问题，并支持医院按规则启停。</w:t>
            </w:r>
          </w:p>
        </w:tc>
      </w:tr>
      <w:tr w14:paraId="5EB117D2">
        <w:trPr>
          <w:jc w:val="center"/>
        </w:trPr>
        <w:tc>
          <w:tcPr>
            <w:tcW w:w="700" w:type="dxa"/>
            <w:shd w:val="clear" w:color="auto" w:fill="auto"/>
            <w:tcMar>
              <w:top w:w="60" w:type="dxa"/>
              <w:left w:w="60" w:type="dxa"/>
              <w:bottom w:w="60" w:type="dxa"/>
              <w:right w:w="60" w:type="dxa"/>
            </w:tcMar>
            <w:vAlign w:val="center"/>
          </w:tcPr>
          <w:p w14:paraId="14E86BA3">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15</w:t>
            </w:r>
          </w:p>
        </w:tc>
        <w:tc>
          <w:tcPr>
            <w:tcW w:w="1275" w:type="dxa"/>
            <w:shd w:val="clear" w:color="auto" w:fill="auto"/>
            <w:tcMar>
              <w:top w:w="60" w:type="dxa"/>
              <w:left w:w="60" w:type="dxa"/>
              <w:bottom w:w="60" w:type="dxa"/>
              <w:right w:w="60" w:type="dxa"/>
            </w:tcMar>
            <w:vAlign w:val="center"/>
          </w:tcPr>
          <w:p w14:paraId="3CC1003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关键诊疗行为记录符合率质控</w:t>
            </w:r>
          </w:p>
        </w:tc>
        <w:tc>
          <w:tcPr>
            <w:tcW w:w="955" w:type="dxa"/>
            <w:shd w:val="clear" w:color="auto" w:fill="auto"/>
            <w:tcMar>
              <w:top w:w="60" w:type="dxa"/>
              <w:left w:w="60" w:type="dxa"/>
              <w:bottom w:w="60" w:type="dxa"/>
              <w:right w:w="60" w:type="dxa"/>
            </w:tcMar>
            <w:vAlign w:val="center"/>
          </w:tcPr>
          <w:p w14:paraId="7308967A">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202C4CF3">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将关键诊疗行为符合率核查要求融入内涵质控规则，对抗菌药物使用、恶性肿瘤化学治疗、恶性肿瘤放射治疗、有创诊疗操作、手术相关记录、植入物、临床用血、医师查房、患者抢救、重大检查、病理检查、细菌培养、危急值处置等场景进行规则化核查；支持根据医嘱、知情同意书、病程记录、手术记录、麻醉记录、检查检验报告、费用明细等多源数据进行交叉校验。</w:t>
            </w:r>
          </w:p>
        </w:tc>
      </w:tr>
      <w:tr w14:paraId="2EDFC863">
        <w:trPr>
          <w:jc w:val="center"/>
        </w:trPr>
        <w:tc>
          <w:tcPr>
            <w:tcW w:w="700" w:type="dxa"/>
            <w:shd w:val="clear" w:color="auto" w:fill="auto"/>
            <w:tcMar>
              <w:top w:w="60" w:type="dxa"/>
              <w:left w:w="60" w:type="dxa"/>
              <w:bottom w:w="60" w:type="dxa"/>
              <w:right w:w="60" w:type="dxa"/>
            </w:tcMar>
            <w:vAlign w:val="center"/>
          </w:tcPr>
          <w:p w14:paraId="117C6462">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16</w:t>
            </w:r>
          </w:p>
        </w:tc>
        <w:tc>
          <w:tcPr>
            <w:tcW w:w="1275" w:type="dxa"/>
            <w:shd w:val="clear" w:color="auto" w:fill="auto"/>
            <w:tcMar>
              <w:top w:w="60" w:type="dxa"/>
              <w:left w:w="60" w:type="dxa"/>
              <w:bottom w:w="60" w:type="dxa"/>
              <w:right w:w="60" w:type="dxa"/>
            </w:tcMar>
            <w:vAlign w:val="center"/>
          </w:tcPr>
          <w:p w14:paraId="2F1C4ACC">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重点诊疗场景专项质控</w:t>
            </w:r>
          </w:p>
        </w:tc>
        <w:tc>
          <w:tcPr>
            <w:tcW w:w="955" w:type="dxa"/>
            <w:shd w:val="clear" w:color="auto" w:fill="auto"/>
            <w:tcMar>
              <w:top w:w="60" w:type="dxa"/>
              <w:left w:w="60" w:type="dxa"/>
              <w:bottom w:w="60" w:type="dxa"/>
              <w:right w:w="60" w:type="dxa"/>
            </w:tcMar>
            <w:vAlign w:val="center"/>
          </w:tcPr>
          <w:p w14:paraId="7930E988">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41CB91E5">
            <w:pPr>
              <w:jc w:val="both"/>
              <w:rPr>
                <w:rFonts w:hint="default" w:ascii="Times New Roman Regular" w:hAnsi="Times New Roman Regular" w:eastAsia="宋体" w:cs="Times New Roman Regular"/>
                <w:b w:val="0"/>
                <w:sz w:val="21"/>
                <w:szCs w:val="21"/>
                <w:lang w:val="en-US" w:eastAsia="zh-CN"/>
              </w:rPr>
            </w:pPr>
            <w:r>
              <w:rPr>
                <w:rFonts w:hint="default" w:ascii="Times New Roman Regular" w:hAnsi="Times New Roman Regular" w:eastAsia="宋体" w:cs="Times New Roman Regular"/>
                <w:b w:val="0"/>
                <w:sz w:val="21"/>
                <w:szCs w:val="21"/>
                <w:lang w:val="en-US" w:eastAsia="zh-CN"/>
              </w:rPr>
              <w:t>系统应支持对重大检查检验、病理检查、细菌培养、抗菌药物使用、肿瘤治疗、临床用血、手术、有创操作、植入物、医师查房、患者抢救、危急值处置等重点诊疗场景进行专项质控；支持根据医嘱、知情同意书、病程记录、手术记录、麻醉记录、检查检验报告、费用明细等多源数据进行交叉校验，核查相关记录是否完整、及时、准确，并支持医院根据管理要求启停或调整相关规则。</w:t>
            </w:r>
          </w:p>
        </w:tc>
      </w:tr>
      <w:tr w14:paraId="20F1D4E5">
        <w:trPr>
          <w:jc w:val="center"/>
        </w:trPr>
        <w:tc>
          <w:tcPr>
            <w:tcW w:w="700" w:type="dxa"/>
            <w:shd w:val="clear" w:color="auto" w:fill="auto"/>
            <w:tcMar>
              <w:top w:w="60" w:type="dxa"/>
              <w:left w:w="60" w:type="dxa"/>
              <w:bottom w:w="60" w:type="dxa"/>
              <w:right w:w="60" w:type="dxa"/>
            </w:tcMar>
            <w:vAlign w:val="center"/>
          </w:tcPr>
          <w:p w14:paraId="1995A195">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17</w:t>
            </w:r>
          </w:p>
        </w:tc>
        <w:tc>
          <w:tcPr>
            <w:tcW w:w="1275" w:type="dxa"/>
            <w:shd w:val="clear" w:color="auto" w:fill="auto"/>
            <w:tcMar>
              <w:top w:w="60" w:type="dxa"/>
              <w:left w:w="60" w:type="dxa"/>
              <w:bottom w:w="60" w:type="dxa"/>
              <w:right w:w="60" w:type="dxa"/>
            </w:tcMar>
            <w:vAlign w:val="center"/>
          </w:tcPr>
          <w:p w14:paraId="2046E969">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雷同与复制质控</w:t>
            </w:r>
          </w:p>
        </w:tc>
        <w:tc>
          <w:tcPr>
            <w:tcW w:w="955" w:type="dxa"/>
            <w:shd w:val="clear" w:color="auto" w:fill="auto"/>
            <w:tcMar>
              <w:top w:w="60" w:type="dxa"/>
              <w:left w:w="60" w:type="dxa"/>
              <w:bottom w:w="60" w:type="dxa"/>
              <w:right w:w="60" w:type="dxa"/>
            </w:tcMar>
            <w:vAlign w:val="center"/>
          </w:tcPr>
          <w:p w14:paraId="2A0167EF">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0FA4D736">
            <w:pPr>
              <w:spacing w:after="0" w:line="252" w:lineRule="auto"/>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系统应支持对病程记录、查房记录、术前讨论、首次病程与入院记录等文书之间的高度相似、简单复制、内容雷同等情况进行识别，提示可能存在的病历书写质量问题，并支持按医院管理要求配置提醒级别。</w:t>
            </w:r>
          </w:p>
        </w:tc>
      </w:tr>
      <w:tr w14:paraId="084C5704">
        <w:trPr>
          <w:jc w:val="center"/>
        </w:trPr>
        <w:tc>
          <w:tcPr>
            <w:tcW w:w="700" w:type="dxa"/>
            <w:shd w:val="clear" w:color="auto" w:fill="auto"/>
            <w:tcMar>
              <w:top w:w="60" w:type="dxa"/>
              <w:left w:w="60" w:type="dxa"/>
              <w:bottom w:w="60" w:type="dxa"/>
              <w:right w:w="60" w:type="dxa"/>
            </w:tcMar>
            <w:vAlign w:val="center"/>
          </w:tcPr>
          <w:p w14:paraId="76D1A66D">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18</w:t>
            </w:r>
          </w:p>
        </w:tc>
        <w:tc>
          <w:tcPr>
            <w:tcW w:w="1275" w:type="dxa"/>
            <w:shd w:val="clear" w:color="auto" w:fill="auto"/>
            <w:tcMar>
              <w:top w:w="60" w:type="dxa"/>
              <w:left w:w="60" w:type="dxa"/>
              <w:bottom w:w="60" w:type="dxa"/>
              <w:right w:w="60" w:type="dxa"/>
            </w:tcMar>
            <w:vAlign w:val="center"/>
          </w:tcPr>
          <w:p w14:paraId="1634C154">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病历查询与重点病历筛选</w:t>
            </w:r>
          </w:p>
        </w:tc>
        <w:tc>
          <w:tcPr>
            <w:tcW w:w="955" w:type="dxa"/>
            <w:shd w:val="clear" w:color="auto" w:fill="auto"/>
            <w:tcMar>
              <w:top w:w="60" w:type="dxa"/>
              <w:left w:w="60" w:type="dxa"/>
              <w:bottom w:w="60" w:type="dxa"/>
              <w:right w:w="60" w:type="dxa"/>
            </w:tcMar>
            <w:vAlign w:val="center"/>
          </w:tcPr>
          <w:p w14:paraId="6F185018">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sz w:val="21"/>
                <w:szCs w:val="21"/>
                <w:lang w:val="en-US" w:eastAsia="zh-CN"/>
              </w:rPr>
              <w:t>-</w:t>
            </w:r>
          </w:p>
        </w:tc>
        <w:tc>
          <w:tcPr>
            <w:tcW w:w="5848" w:type="dxa"/>
            <w:shd w:val="clear" w:color="auto" w:fill="auto"/>
            <w:tcMar>
              <w:top w:w="60" w:type="dxa"/>
              <w:left w:w="60" w:type="dxa"/>
              <w:bottom w:w="60" w:type="dxa"/>
              <w:right w:w="60" w:type="dxa"/>
            </w:tcMar>
            <w:vAlign w:val="center"/>
          </w:tcPr>
          <w:p w14:paraId="2A971077">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运行病历、终末病历及门诊病历的查询和筛选，可按时间、科室、病区、医生、病历等级、问题类型、文书类型、标签、手术级别、会诊、重症抢救、死亡、输血、疑难病例、低风险死亡等条件检索；支持病历列表字段自定义展示和结果导出。</w:t>
            </w:r>
          </w:p>
        </w:tc>
      </w:tr>
      <w:tr w14:paraId="18750A18">
        <w:trPr>
          <w:jc w:val="center"/>
        </w:trPr>
        <w:tc>
          <w:tcPr>
            <w:tcW w:w="700" w:type="dxa"/>
            <w:shd w:val="clear" w:color="auto" w:fill="auto"/>
            <w:tcMar>
              <w:top w:w="60" w:type="dxa"/>
              <w:left w:w="60" w:type="dxa"/>
              <w:bottom w:w="60" w:type="dxa"/>
              <w:right w:w="60" w:type="dxa"/>
            </w:tcMar>
            <w:vAlign w:val="center"/>
          </w:tcPr>
          <w:p w14:paraId="5FBADBB2">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19</w:t>
            </w:r>
          </w:p>
        </w:tc>
        <w:tc>
          <w:tcPr>
            <w:tcW w:w="1275" w:type="dxa"/>
            <w:shd w:val="clear" w:color="auto" w:fill="auto"/>
            <w:tcMar>
              <w:top w:w="60" w:type="dxa"/>
              <w:left w:w="60" w:type="dxa"/>
              <w:bottom w:w="60" w:type="dxa"/>
              <w:right w:w="60" w:type="dxa"/>
            </w:tcMar>
            <w:vAlign w:val="center"/>
          </w:tcPr>
          <w:p w14:paraId="09C18D7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运行病历质控管理</w:t>
            </w:r>
          </w:p>
        </w:tc>
        <w:tc>
          <w:tcPr>
            <w:tcW w:w="955" w:type="dxa"/>
            <w:shd w:val="clear" w:color="auto" w:fill="auto"/>
            <w:tcMar>
              <w:top w:w="60" w:type="dxa"/>
              <w:left w:w="60" w:type="dxa"/>
              <w:bottom w:w="60" w:type="dxa"/>
              <w:right w:w="60" w:type="dxa"/>
            </w:tcMar>
            <w:vAlign w:val="center"/>
          </w:tcPr>
          <w:p w14:paraId="69B7A1F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305301E3">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对在院病历进行实时或准实时质控，向医生和质控人员提示当前病历缺陷、风险等级、整改建议和剩余处理时限；支持运行病历质量监测、问题下钻、科室排名、文书问题排名、质控率、问题修正率和整改情况跟踪。</w:t>
            </w:r>
          </w:p>
        </w:tc>
      </w:tr>
      <w:tr w14:paraId="33A01E89">
        <w:trPr>
          <w:jc w:val="center"/>
        </w:trPr>
        <w:tc>
          <w:tcPr>
            <w:tcW w:w="700" w:type="dxa"/>
            <w:shd w:val="clear" w:color="auto" w:fill="auto"/>
            <w:tcMar>
              <w:top w:w="60" w:type="dxa"/>
              <w:left w:w="60" w:type="dxa"/>
              <w:bottom w:w="60" w:type="dxa"/>
              <w:right w:w="60" w:type="dxa"/>
            </w:tcMar>
            <w:vAlign w:val="center"/>
          </w:tcPr>
          <w:p w14:paraId="1C949173">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20</w:t>
            </w:r>
          </w:p>
        </w:tc>
        <w:tc>
          <w:tcPr>
            <w:tcW w:w="1275" w:type="dxa"/>
            <w:shd w:val="clear" w:color="auto" w:fill="auto"/>
            <w:tcMar>
              <w:top w:w="60" w:type="dxa"/>
              <w:left w:w="60" w:type="dxa"/>
              <w:bottom w:w="60" w:type="dxa"/>
              <w:right w:w="60" w:type="dxa"/>
            </w:tcMar>
            <w:vAlign w:val="center"/>
          </w:tcPr>
          <w:p w14:paraId="1F35FAB4">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终末及门诊病历质控管理</w:t>
            </w:r>
          </w:p>
        </w:tc>
        <w:tc>
          <w:tcPr>
            <w:tcW w:w="955" w:type="dxa"/>
            <w:shd w:val="clear" w:color="auto" w:fill="auto"/>
            <w:tcMar>
              <w:top w:w="60" w:type="dxa"/>
              <w:left w:w="60" w:type="dxa"/>
              <w:bottom w:w="60" w:type="dxa"/>
              <w:right w:w="60" w:type="dxa"/>
            </w:tcMar>
            <w:vAlign w:val="center"/>
          </w:tcPr>
          <w:p w14:paraId="78D67E9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78E72035">
            <w:pPr>
              <w:jc w:val="both"/>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系统应支持对出院或归档前病历进行终末质控，展示机器质控问题、人工审核问题、病历评分、病历等级和整改状态；支持对门诊病历进行质量提醒和问题查询，支持按就诊日期、出院日期、科室、医生、问题类型等维度检索并导出结果。</w:t>
            </w:r>
          </w:p>
        </w:tc>
      </w:tr>
      <w:tr w14:paraId="6C57B20C">
        <w:trPr>
          <w:jc w:val="center"/>
        </w:trPr>
        <w:tc>
          <w:tcPr>
            <w:tcW w:w="700" w:type="dxa"/>
            <w:shd w:val="clear" w:color="auto" w:fill="auto"/>
            <w:tcMar>
              <w:top w:w="60" w:type="dxa"/>
              <w:left w:w="60" w:type="dxa"/>
              <w:bottom w:w="60" w:type="dxa"/>
              <w:right w:w="60" w:type="dxa"/>
            </w:tcMar>
            <w:vAlign w:val="center"/>
          </w:tcPr>
          <w:p w14:paraId="51A72A9B">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21</w:t>
            </w:r>
          </w:p>
        </w:tc>
        <w:tc>
          <w:tcPr>
            <w:tcW w:w="1275" w:type="dxa"/>
            <w:shd w:val="clear" w:color="auto" w:fill="auto"/>
            <w:tcMar>
              <w:top w:w="60" w:type="dxa"/>
              <w:left w:w="60" w:type="dxa"/>
              <w:bottom w:w="60" w:type="dxa"/>
              <w:right w:w="60" w:type="dxa"/>
            </w:tcMar>
            <w:vAlign w:val="center"/>
          </w:tcPr>
          <w:p w14:paraId="5A0D4E07">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质控任务与抽查管理</w:t>
            </w:r>
          </w:p>
        </w:tc>
        <w:tc>
          <w:tcPr>
            <w:tcW w:w="955" w:type="dxa"/>
            <w:shd w:val="clear" w:color="auto" w:fill="auto"/>
            <w:tcMar>
              <w:top w:w="60" w:type="dxa"/>
              <w:left w:w="60" w:type="dxa"/>
              <w:bottom w:w="60" w:type="dxa"/>
              <w:right w:w="60" w:type="dxa"/>
            </w:tcMar>
            <w:vAlign w:val="center"/>
          </w:tcPr>
          <w:p w14:paraId="79BCE104">
            <w:pPr>
              <w:jc w:val="center"/>
              <w:rPr>
                <w:rFonts w:hint="eastAsia" w:ascii="Times New Roman Regular" w:hAnsi="Times New Roman Regular" w:eastAsia="宋体" w:cs="Times New Roman Regular"/>
                <w:b w:val="0"/>
                <w:sz w:val="21"/>
                <w:szCs w:val="21"/>
                <w:lang w:val="en-US" w:eastAsia="zh-CN"/>
              </w:rPr>
            </w:pPr>
            <w:r>
              <w:rPr>
                <w:rFonts w:hint="eastAsia" w:ascii="Times New Roman Regular" w:hAnsi="Times New Roman Regular" w:cs="Times New Roman Regular"/>
                <w:b w:val="0"/>
                <w:sz w:val="21"/>
                <w:szCs w:val="21"/>
                <w:lang w:val="en-US" w:eastAsia="zh-CN"/>
              </w:rPr>
              <w:t>-</w:t>
            </w:r>
          </w:p>
        </w:tc>
        <w:tc>
          <w:tcPr>
            <w:tcW w:w="5848" w:type="dxa"/>
            <w:shd w:val="clear" w:color="auto" w:fill="auto"/>
            <w:tcMar>
              <w:top w:w="60" w:type="dxa"/>
              <w:left w:w="60" w:type="dxa"/>
              <w:bottom w:w="60" w:type="dxa"/>
              <w:right w:w="60" w:type="dxa"/>
            </w:tcMar>
            <w:vAlign w:val="center"/>
          </w:tcPr>
          <w:p w14:paraId="1E1A874B">
            <w:pPr>
              <w:jc w:val="both"/>
              <w:rPr>
                <w:rFonts w:hint="default" w:ascii="Times New Roman Regular" w:hAnsi="Times New Roman Regular" w:eastAsia="宋体" w:cs="Times New Roman Regular"/>
                <w:b w:val="0"/>
                <w:sz w:val="21"/>
                <w:szCs w:val="21"/>
              </w:rPr>
            </w:pPr>
            <w:r>
              <w:rPr>
                <w:rFonts w:hint="default" w:ascii="Times New Roman Regular" w:hAnsi="Times New Roman Regular" w:eastAsia="宋体" w:cs="Times New Roman Regular"/>
                <w:b w:val="0"/>
                <w:sz w:val="21"/>
                <w:szCs w:val="21"/>
              </w:rPr>
              <w:t>系统应支持质控任务创建、自动抽取、人工筛选、任务分配、进度查看、剩余时间提醒和任务列表导出；支持按照病历基本信息、患者诊疗特征、重点病种、手术及操作、诊断情况、住院时间、专科特征、护理记录、医嘱用药、特殊用药等多维条件进行病历抽取，并支持任务再次分配给质控人员。</w:t>
            </w:r>
          </w:p>
        </w:tc>
      </w:tr>
      <w:tr w14:paraId="4F1B0F61">
        <w:trPr>
          <w:jc w:val="center"/>
        </w:trPr>
        <w:tc>
          <w:tcPr>
            <w:tcW w:w="700" w:type="dxa"/>
            <w:shd w:val="clear" w:color="auto" w:fill="auto"/>
            <w:tcMar>
              <w:top w:w="60" w:type="dxa"/>
              <w:left w:w="60" w:type="dxa"/>
              <w:bottom w:w="60" w:type="dxa"/>
              <w:right w:w="60" w:type="dxa"/>
            </w:tcMar>
            <w:vAlign w:val="center"/>
          </w:tcPr>
          <w:p w14:paraId="55741521">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22</w:t>
            </w:r>
          </w:p>
        </w:tc>
        <w:tc>
          <w:tcPr>
            <w:tcW w:w="1275" w:type="dxa"/>
            <w:shd w:val="clear" w:color="auto" w:fill="auto"/>
            <w:tcMar>
              <w:top w:w="60" w:type="dxa"/>
              <w:left w:w="60" w:type="dxa"/>
              <w:bottom w:w="60" w:type="dxa"/>
              <w:right w:w="60" w:type="dxa"/>
            </w:tcMar>
            <w:vAlign w:val="center"/>
          </w:tcPr>
          <w:p w14:paraId="2C14621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人工审核与评分</w:t>
            </w:r>
          </w:p>
        </w:tc>
        <w:tc>
          <w:tcPr>
            <w:tcW w:w="955" w:type="dxa"/>
            <w:shd w:val="clear" w:color="auto" w:fill="auto"/>
            <w:tcMar>
              <w:top w:w="60" w:type="dxa"/>
              <w:left w:w="60" w:type="dxa"/>
              <w:bottom w:w="60" w:type="dxa"/>
              <w:right w:w="60" w:type="dxa"/>
            </w:tcMar>
            <w:vAlign w:val="center"/>
          </w:tcPr>
          <w:p w14:paraId="1523EDB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619FAA36">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sz w:val="21"/>
                <w:szCs w:val="21"/>
              </w:rPr>
              <w:t>系统应支持质控人员在线查看病历全文、质控问题、评分表和缺陷明细，对机器识别问题进行确认、删除、补充；支持人工新增缺陷、滑选原文标记、关联质控点、填写扣分理由和整改意见，并自动影响病历评分结果。</w:t>
            </w:r>
          </w:p>
        </w:tc>
      </w:tr>
      <w:tr w14:paraId="1CC844B4">
        <w:trPr>
          <w:jc w:val="center"/>
        </w:trPr>
        <w:tc>
          <w:tcPr>
            <w:tcW w:w="700" w:type="dxa"/>
            <w:shd w:val="clear" w:color="auto" w:fill="auto"/>
            <w:tcMar>
              <w:top w:w="60" w:type="dxa"/>
              <w:left w:w="60" w:type="dxa"/>
              <w:bottom w:w="60" w:type="dxa"/>
              <w:right w:w="60" w:type="dxa"/>
            </w:tcMar>
            <w:vAlign w:val="center"/>
          </w:tcPr>
          <w:p w14:paraId="2DFB6FA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23</w:t>
            </w:r>
          </w:p>
        </w:tc>
        <w:tc>
          <w:tcPr>
            <w:tcW w:w="1275" w:type="dxa"/>
            <w:shd w:val="clear" w:color="auto" w:fill="auto"/>
            <w:tcMar>
              <w:top w:w="60" w:type="dxa"/>
              <w:left w:w="60" w:type="dxa"/>
              <w:bottom w:w="60" w:type="dxa"/>
              <w:right w:w="60" w:type="dxa"/>
            </w:tcMar>
            <w:vAlign w:val="center"/>
          </w:tcPr>
          <w:p w14:paraId="531A0F76">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缺陷闭环管理</w:t>
            </w:r>
          </w:p>
        </w:tc>
        <w:tc>
          <w:tcPr>
            <w:tcW w:w="955" w:type="dxa"/>
            <w:shd w:val="clear" w:color="auto" w:fill="auto"/>
            <w:tcMar>
              <w:top w:w="60" w:type="dxa"/>
              <w:left w:w="60" w:type="dxa"/>
              <w:bottom w:w="60" w:type="dxa"/>
              <w:right w:w="60" w:type="dxa"/>
            </w:tcMar>
            <w:vAlign w:val="center"/>
          </w:tcPr>
          <w:p w14:paraId="3E35ABE1">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29180425">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lang w:val="en-US" w:eastAsia="zh-CN"/>
              </w:rPr>
              <w:t>系统应支持机器质控、人工审核、评价单下发、科室查收、医生整改、医生申诉、质控员复核、任务关闭等全过程闭环管理；每个缺陷应记录发现、反馈、整改、确认等关键节点，支持按问题和整份病历查看流转轨迹；支持医生查看机器质控或人工质控问题，进行确认、整改、反馈和申诉，反馈信息应同步至审核端，并保留处理意见、沟通记录及流转状态。</w:t>
            </w:r>
          </w:p>
        </w:tc>
      </w:tr>
      <w:tr w14:paraId="2B5CA29D">
        <w:trPr>
          <w:jc w:val="center"/>
        </w:trPr>
        <w:tc>
          <w:tcPr>
            <w:tcW w:w="700" w:type="dxa"/>
            <w:shd w:val="clear" w:color="auto" w:fill="auto"/>
            <w:tcMar>
              <w:top w:w="60" w:type="dxa"/>
              <w:left w:w="60" w:type="dxa"/>
              <w:bottom w:w="60" w:type="dxa"/>
              <w:right w:w="60" w:type="dxa"/>
            </w:tcMar>
            <w:vAlign w:val="center"/>
          </w:tcPr>
          <w:p w14:paraId="7974602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24</w:t>
            </w:r>
          </w:p>
        </w:tc>
        <w:tc>
          <w:tcPr>
            <w:tcW w:w="1275" w:type="dxa"/>
            <w:shd w:val="clear" w:color="auto" w:fill="auto"/>
            <w:tcMar>
              <w:top w:w="60" w:type="dxa"/>
              <w:left w:w="60" w:type="dxa"/>
              <w:bottom w:w="60" w:type="dxa"/>
              <w:right w:w="60" w:type="dxa"/>
            </w:tcMar>
            <w:vAlign w:val="center"/>
          </w:tcPr>
          <w:p w14:paraId="37CB837D">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统计分析与质量报表</w:t>
            </w:r>
          </w:p>
        </w:tc>
        <w:tc>
          <w:tcPr>
            <w:tcW w:w="955" w:type="dxa"/>
            <w:shd w:val="clear" w:color="auto" w:fill="auto"/>
            <w:tcMar>
              <w:top w:w="60" w:type="dxa"/>
              <w:left w:w="60" w:type="dxa"/>
              <w:bottom w:w="60" w:type="dxa"/>
              <w:right w:w="60" w:type="dxa"/>
            </w:tcMar>
            <w:vAlign w:val="center"/>
          </w:tcPr>
          <w:p w14:paraId="30EBD366">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2E28F483">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提供运行病历、终末病历、门诊病历、科室、医疗组、医生、文书、质控点、问题类型、病历等级、整改率、质控率、工作量、关键诊疗行为符合率等多维度统计分析；支持医疗质量控制相关指标统计，包括病历书写时效性、重大检查记录、诊疗行为记录、病历归档质量、主要诊断/手术填写与编码质量、不合理复制病历、知情同意书规范签署率、甲级病历率等指标的配置、计算、下钻和导出；支持对数据完整性、关联性、一致性、时序合理性等质量指标进行统计分析和问题追踪。</w:t>
            </w:r>
          </w:p>
        </w:tc>
      </w:tr>
      <w:tr w14:paraId="44218A30">
        <w:trPr>
          <w:jc w:val="center"/>
        </w:trPr>
        <w:tc>
          <w:tcPr>
            <w:tcW w:w="700" w:type="dxa"/>
            <w:shd w:val="clear" w:color="auto" w:fill="auto"/>
            <w:tcMar>
              <w:top w:w="60" w:type="dxa"/>
              <w:left w:w="60" w:type="dxa"/>
              <w:bottom w:w="60" w:type="dxa"/>
              <w:right w:w="60" w:type="dxa"/>
            </w:tcMar>
            <w:vAlign w:val="center"/>
          </w:tcPr>
          <w:p w14:paraId="7415151A">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25</w:t>
            </w:r>
          </w:p>
        </w:tc>
        <w:tc>
          <w:tcPr>
            <w:tcW w:w="1275" w:type="dxa"/>
            <w:shd w:val="clear" w:color="auto" w:fill="auto"/>
            <w:tcMar>
              <w:top w:w="60" w:type="dxa"/>
              <w:left w:w="60" w:type="dxa"/>
              <w:bottom w:w="60" w:type="dxa"/>
              <w:right w:w="60" w:type="dxa"/>
            </w:tcMar>
            <w:vAlign w:val="center"/>
          </w:tcPr>
          <w:p w14:paraId="0FAE5A98">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规则、评分表与权限配置</w:t>
            </w:r>
          </w:p>
        </w:tc>
        <w:tc>
          <w:tcPr>
            <w:tcW w:w="955" w:type="dxa"/>
            <w:shd w:val="clear" w:color="auto" w:fill="auto"/>
            <w:tcMar>
              <w:top w:w="60" w:type="dxa"/>
              <w:left w:w="60" w:type="dxa"/>
              <w:bottom w:w="60" w:type="dxa"/>
              <w:right w:w="60" w:type="dxa"/>
            </w:tcMar>
            <w:vAlign w:val="center"/>
          </w:tcPr>
          <w:p w14:paraId="5C01DDCF">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5F4E0E8A">
            <w:pPr>
              <w:spacing w:after="0" w:line="252" w:lineRule="auto"/>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质控点、评分表、提醒级别、单项否决、扣分逻辑、质控级别、质控组、角色权限、数据权限等基础配置；支持评分项目新增、修改、删除，支持配置病历类型、评分标准、评分方法、分值设置、扣分逻辑、关联质控点等内容；支持医院根据制度、科室特点和管理要求持续优化质控规则。</w:t>
            </w:r>
          </w:p>
        </w:tc>
      </w:tr>
      <w:tr w14:paraId="0337F0D9">
        <w:trPr>
          <w:jc w:val="center"/>
        </w:trPr>
        <w:tc>
          <w:tcPr>
            <w:tcW w:w="700" w:type="dxa"/>
            <w:shd w:val="clear" w:color="auto" w:fill="auto"/>
            <w:tcMar>
              <w:top w:w="60" w:type="dxa"/>
              <w:left w:w="60" w:type="dxa"/>
              <w:bottom w:w="60" w:type="dxa"/>
              <w:right w:w="60" w:type="dxa"/>
            </w:tcMar>
            <w:vAlign w:val="center"/>
          </w:tcPr>
          <w:p w14:paraId="0D9A890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26</w:t>
            </w:r>
          </w:p>
        </w:tc>
        <w:tc>
          <w:tcPr>
            <w:tcW w:w="1275" w:type="dxa"/>
            <w:shd w:val="clear" w:color="auto" w:fill="auto"/>
            <w:tcMar>
              <w:top w:w="60" w:type="dxa"/>
              <w:left w:w="60" w:type="dxa"/>
              <w:bottom w:w="60" w:type="dxa"/>
              <w:right w:w="60" w:type="dxa"/>
            </w:tcMar>
            <w:vAlign w:val="center"/>
          </w:tcPr>
          <w:p w14:paraId="42E9532B">
            <w:pPr>
              <w:jc w:val="center"/>
              <w:rPr>
                <w:rFonts w:hint="eastAsia" w:ascii="Times New Roman Regular" w:hAnsi="Times New Roman Regular" w:eastAsia="宋体" w:cs="Times New Roman Regular"/>
                <w:b w:val="0"/>
                <w:kern w:val="2"/>
                <w:sz w:val="21"/>
                <w:szCs w:val="21"/>
                <w:lang w:val="en-US" w:eastAsia="zh-CN" w:bidi="ar-SA"/>
              </w:rPr>
            </w:pPr>
            <w:r>
              <w:rPr>
                <w:rFonts w:hint="eastAsia" w:ascii="Times New Roman Regular" w:hAnsi="Times New Roman Regular" w:cs="Times New Roman Regular"/>
                <w:b w:val="0"/>
                <w:sz w:val="21"/>
                <w:szCs w:val="21"/>
                <w:lang w:eastAsia="zh-CN"/>
              </w:rPr>
              <w:t>病历内涵质控监控看板</w:t>
            </w:r>
          </w:p>
        </w:tc>
        <w:tc>
          <w:tcPr>
            <w:tcW w:w="955" w:type="dxa"/>
            <w:shd w:val="clear" w:color="auto" w:fill="auto"/>
            <w:tcMar>
              <w:top w:w="60" w:type="dxa"/>
              <w:left w:w="60" w:type="dxa"/>
              <w:bottom w:w="60" w:type="dxa"/>
              <w:right w:w="60" w:type="dxa"/>
            </w:tcMar>
            <w:vAlign w:val="center"/>
          </w:tcPr>
          <w:p w14:paraId="12D99819">
            <w:pPr>
              <w:jc w:val="center"/>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48E0F186">
            <w:pPr>
              <w:keepNext w:val="0"/>
              <w:keepLines w:val="0"/>
              <w:widowControl/>
              <w:suppressLineNumbers w:val="0"/>
              <w:jc w:val="both"/>
              <w:rPr>
                <w:rFonts w:hint="default" w:ascii="Times New Roman Regular" w:hAnsi="Times New Roman Regular" w:eastAsia="宋体" w:cs="Times New Roman Regular"/>
                <w:b w:val="0"/>
                <w:color w:val="auto"/>
                <w:kern w:val="2"/>
                <w:sz w:val="21"/>
                <w:szCs w:val="21"/>
                <w:lang w:val="en-US" w:eastAsia="zh-CN" w:bidi="ar-SA"/>
              </w:rPr>
            </w:pPr>
            <w:r>
              <w:rPr>
                <w:rFonts w:hint="default" w:ascii="Times New Roman Regular" w:hAnsi="Times New Roman Regular" w:eastAsia="宋体" w:cs="Times New Roman Regular"/>
                <w:b w:val="0"/>
                <w:sz w:val="21"/>
                <w:szCs w:val="21"/>
              </w:rPr>
              <w:t>提供</w:t>
            </w:r>
            <w:r>
              <w:rPr>
                <w:rFonts w:hint="eastAsia" w:ascii="Times New Roman Regular" w:hAnsi="Times New Roman Regular" w:cs="Times New Roman Regular"/>
                <w:b w:val="0"/>
                <w:sz w:val="21"/>
                <w:szCs w:val="21"/>
                <w:lang w:eastAsia="zh-CN"/>
              </w:rPr>
              <w:t>病历内涵质控监控看板</w:t>
            </w:r>
            <w:r>
              <w:rPr>
                <w:rFonts w:hint="default" w:ascii="Times New Roman Regular" w:hAnsi="Times New Roman Regular" w:eastAsia="宋体" w:cs="Times New Roman Regular"/>
                <w:b w:val="0"/>
                <w:sz w:val="21"/>
                <w:szCs w:val="21"/>
              </w:rPr>
              <w:t>功能：能够实时监控全院病历质量情况，并统计高频问题文书排名、科室问题排名、问题病案类型分布、医生问题分布情况进行图形化结果展示。</w:t>
            </w:r>
          </w:p>
        </w:tc>
      </w:tr>
      <w:tr w14:paraId="02AEB509">
        <w:trPr>
          <w:jc w:val="center"/>
        </w:trPr>
        <w:tc>
          <w:tcPr>
            <w:tcW w:w="700" w:type="dxa"/>
            <w:shd w:val="clear" w:color="auto" w:fill="auto"/>
            <w:tcMar>
              <w:top w:w="60" w:type="dxa"/>
              <w:left w:w="60" w:type="dxa"/>
              <w:bottom w:w="60" w:type="dxa"/>
              <w:right w:w="60" w:type="dxa"/>
            </w:tcMar>
            <w:vAlign w:val="center"/>
          </w:tcPr>
          <w:p w14:paraId="3DAFD961">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27</w:t>
            </w:r>
          </w:p>
        </w:tc>
        <w:tc>
          <w:tcPr>
            <w:tcW w:w="1275" w:type="dxa"/>
            <w:shd w:val="clear" w:color="auto" w:fill="auto"/>
            <w:tcMar>
              <w:top w:w="60" w:type="dxa"/>
              <w:left w:w="60" w:type="dxa"/>
              <w:bottom w:w="60" w:type="dxa"/>
              <w:right w:w="60" w:type="dxa"/>
            </w:tcMar>
            <w:vAlign w:val="center"/>
          </w:tcPr>
          <w:p w14:paraId="2485F3DC">
            <w:pPr>
              <w:jc w:val="center"/>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lang w:val="en-US" w:eastAsia="zh-CN"/>
              </w:rPr>
              <w:t>CA电子签名</w:t>
            </w:r>
            <w:r>
              <w:rPr>
                <w:rFonts w:hint="eastAsia" w:ascii="Times New Roman Regular" w:hAnsi="Times New Roman Regular" w:cs="Times New Roman Regular"/>
                <w:b w:val="0"/>
                <w:sz w:val="21"/>
                <w:szCs w:val="21"/>
                <w:lang w:val="en-US" w:eastAsia="zh-CN"/>
              </w:rPr>
              <w:t>审核与</w:t>
            </w:r>
            <w:r>
              <w:rPr>
                <w:rFonts w:hint="default" w:ascii="Times New Roman Regular" w:hAnsi="Times New Roman Regular" w:eastAsia="宋体" w:cs="Times New Roman Regular"/>
                <w:b w:val="0"/>
                <w:sz w:val="21"/>
                <w:szCs w:val="21"/>
                <w:lang w:val="en-US" w:eastAsia="zh-CN"/>
              </w:rPr>
              <w:t>对接</w:t>
            </w:r>
          </w:p>
        </w:tc>
        <w:tc>
          <w:tcPr>
            <w:tcW w:w="955" w:type="dxa"/>
            <w:shd w:val="clear" w:color="auto" w:fill="auto"/>
            <w:tcMar>
              <w:top w:w="60" w:type="dxa"/>
              <w:left w:w="60" w:type="dxa"/>
              <w:bottom w:w="60" w:type="dxa"/>
              <w:right w:w="60" w:type="dxa"/>
            </w:tcMar>
            <w:vAlign w:val="center"/>
          </w:tcPr>
          <w:p w14:paraId="422D729D">
            <w:pPr>
              <w:jc w:val="center"/>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780AC2E7">
            <w:pPr>
              <w:keepNext w:val="0"/>
              <w:keepLines w:val="0"/>
              <w:widowControl/>
              <w:suppressLineNumbers w:val="0"/>
              <w:jc w:val="both"/>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color w:val="auto"/>
                <w:sz w:val="21"/>
                <w:szCs w:val="21"/>
              </w:rPr>
              <w:t>系统应支持与医院现有医护人员CA认证、电子签名、统一身份认证等体系对接，并支持后续患者CA签名或患者电子签名平台接入后的扩展适配。系统应能够在病历质控、知情同意书、授权委托书、手术麻醉相关文书、特殊检查治疗同意书等场景中，读取或识别签署状态、签署人、签署时间、签名有效性及相关接口返回信息，并可根据医院质控规则对未签署、签署不完整、签署时间异常、签署人与文书要求不一致等问题进行提醒、记录和闭环处理。涉及CA平台、电子签名平台及相关第三方系统对接的，投标人应配合完成接口联调、系统适配和质控规则配置，相关对接服务费用包含在投标报价中。本项目仅对接、读取或校验既有CA认证及电子签名结果，不新建CA证书管理、签章制作、病历签署发起或原电子病历审签流程。</w:t>
            </w:r>
          </w:p>
        </w:tc>
      </w:tr>
      <w:tr w14:paraId="5E1BDB0E">
        <w:trPr>
          <w:jc w:val="center"/>
        </w:trPr>
        <w:tc>
          <w:tcPr>
            <w:tcW w:w="700" w:type="dxa"/>
            <w:shd w:val="clear" w:color="auto" w:fill="auto"/>
            <w:tcMar>
              <w:top w:w="60" w:type="dxa"/>
              <w:left w:w="60" w:type="dxa"/>
              <w:bottom w:w="60" w:type="dxa"/>
              <w:right w:w="60" w:type="dxa"/>
            </w:tcMar>
            <w:vAlign w:val="center"/>
          </w:tcPr>
          <w:p w14:paraId="65439FD5">
            <w:pPr>
              <w:spacing w:after="0" w:line="252" w:lineRule="auto"/>
              <w:jc w:val="center"/>
              <w:rPr>
                <w:rFonts w:hint="default" w:ascii="Times New Roman Regular" w:hAnsi="Times New Roman Regular" w:eastAsia="宋体" w:cs="Times New Roman Regular"/>
                <w:kern w:val="2"/>
                <w:sz w:val="21"/>
                <w:szCs w:val="21"/>
                <w:lang w:val="en-US" w:eastAsia="zh-CN" w:bidi="ar-SA"/>
              </w:rPr>
            </w:pPr>
            <w:r>
              <w:rPr>
                <w:rFonts w:hint="eastAsia" w:ascii="Times New Roman Regular" w:hAnsi="Times New Roman Regular" w:cs="Times New Roman Regular"/>
                <w:kern w:val="2"/>
                <w:sz w:val="21"/>
                <w:szCs w:val="21"/>
                <w:lang w:val="en-US" w:eastAsia="zh-CN" w:bidi="ar-SA"/>
              </w:rPr>
              <w:t>28</w:t>
            </w:r>
          </w:p>
        </w:tc>
        <w:tc>
          <w:tcPr>
            <w:tcW w:w="1275" w:type="dxa"/>
            <w:shd w:val="clear" w:color="auto" w:fill="auto"/>
            <w:tcMar>
              <w:top w:w="60" w:type="dxa"/>
              <w:left w:w="60" w:type="dxa"/>
              <w:bottom w:w="60" w:type="dxa"/>
              <w:right w:w="60" w:type="dxa"/>
            </w:tcMar>
            <w:vAlign w:val="center"/>
          </w:tcPr>
          <w:p w14:paraId="3E12CCED">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系统运行监控、日志与备份</w:t>
            </w:r>
          </w:p>
        </w:tc>
        <w:tc>
          <w:tcPr>
            <w:tcW w:w="955" w:type="dxa"/>
            <w:shd w:val="clear" w:color="auto" w:fill="auto"/>
            <w:tcMar>
              <w:top w:w="60" w:type="dxa"/>
              <w:left w:w="60" w:type="dxa"/>
              <w:bottom w:w="60" w:type="dxa"/>
              <w:right w:w="60" w:type="dxa"/>
            </w:tcMar>
            <w:vAlign w:val="center"/>
          </w:tcPr>
          <w:p w14:paraId="56054E0C">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48" w:type="dxa"/>
            <w:shd w:val="clear" w:color="auto" w:fill="auto"/>
            <w:tcMar>
              <w:top w:w="60" w:type="dxa"/>
              <w:left w:w="60" w:type="dxa"/>
              <w:bottom w:w="60" w:type="dxa"/>
              <w:right w:w="60" w:type="dxa"/>
            </w:tcMar>
            <w:vAlign w:val="center"/>
          </w:tcPr>
          <w:p w14:paraId="0D5534BA">
            <w:pPr>
              <w:keepNext w:val="0"/>
              <w:keepLines w:val="0"/>
              <w:widowControl/>
              <w:suppressLineNumbers w:val="0"/>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系统应提供接口同步、规则运行、模型调用、任务执行、异常处理、用户操作等日志记录和运行监控，</w:t>
            </w:r>
            <w:r>
              <w:rPr>
                <w:rFonts w:hint="default" w:ascii="Times New Roman Regular" w:hAnsi="Times New Roman Regular" w:eastAsia="宋体" w:cs="Times New Roman Regular"/>
                <w:kern w:val="0"/>
                <w:sz w:val="21"/>
                <w:szCs w:val="21"/>
                <w:lang w:val="en-US" w:eastAsia="zh-CN" w:bidi="ar"/>
              </w:rPr>
              <w:t>支持产品后台服务、数据抽取服务、自然语言处理服务、模型推理服务、规则库服务、数据处理服务等运行状态监控和异常告警</w:t>
            </w:r>
            <w:r>
              <w:rPr>
                <w:rFonts w:hint="default" w:ascii="Times New Roman Regular" w:hAnsi="Times New Roman Regular" w:eastAsia="宋体" w:cs="Times New Roman Regular"/>
                <w:b w:val="0"/>
                <w:sz w:val="21"/>
                <w:szCs w:val="21"/>
              </w:rPr>
              <w:t>；支持本系统质控结果、规则配置、模型调用记录、接口同步记录等数据的解耦存储、定期备份、权限审计和运维巡检。</w:t>
            </w:r>
          </w:p>
        </w:tc>
      </w:tr>
    </w:tbl>
    <w:p w14:paraId="67543EBB">
      <w:pPr>
        <w:rPr>
          <w:rFonts w:hint="eastAsia" w:ascii="Times New Roman Regular" w:hAnsi="Times New Roman Regular" w:eastAsia="楷体" w:cs="Times New Roman Regular"/>
          <w:b/>
          <w:bCs/>
          <w:sz w:val="24"/>
          <w:lang w:val="en-US" w:eastAsia="zh-CN"/>
        </w:rPr>
      </w:pPr>
    </w:p>
    <w:p w14:paraId="4EB540BD">
      <w:pPr>
        <w:spacing w:line="360" w:lineRule="auto"/>
        <w:rPr>
          <w:rFonts w:ascii="Times New Roman Regular" w:hAnsi="Times New Roman Regular" w:eastAsia="楷体" w:cs="Times New Roman Regular"/>
          <w:b/>
          <w:bCs/>
          <w:sz w:val="24"/>
        </w:rPr>
      </w:pPr>
      <w:r>
        <w:rPr>
          <w:rFonts w:hint="eastAsia" w:ascii="Times New Roman Regular" w:hAnsi="Times New Roman Regular" w:eastAsia="楷体" w:cs="Times New Roman Regular"/>
          <w:b/>
          <w:bCs/>
          <w:sz w:val="24"/>
          <w:lang w:val="en-US" w:eastAsia="zh-CN"/>
        </w:rPr>
        <w:t>1.</w:t>
      </w:r>
      <w:r>
        <w:rPr>
          <w:rFonts w:ascii="Times New Roman Regular" w:hAnsi="Times New Roman Regular" w:eastAsia="楷体" w:cs="Times New Roman Regular"/>
          <w:b/>
          <w:bCs/>
          <w:sz w:val="24"/>
        </w:rPr>
        <w:t>2</w:t>
      </w:r>
      <w:r>
        <w:rPr>
          <w:rFonts w:hint="eastAsia" w:ascii="Times New Roman Regular" w:hAnsi="Times New Roman Regular" w:eastAsia="楷体" w:cs="Times New Roman Regular"/>
          <w:b/>
          <w:bCs/>
          <w:sz w:val="24"/>
          <w:lang w:val="en-US" w:eastAsia="zh-CN"/>
        </w:rPr>
        <w:t xml:space="preserve"> </w:t>
      </w:r>
      <w:r>
        <w:rPr>
          <w:rFonts w:ascii="Times New Roman Regular" w:hAnsi="Times New Roman Regular" w:eastAsia="楷体" w:cs="Times New Roman Regular"/>
          <w:b/>
          <w:bCs/>
          <w:sz w:val="24"/>
        </w:rPr>
        <w:t>病案首页质控模块</w:t>
      </w:r>
    </w:p>
    <w:tbl>
      <w:tblPr>
        <w:tblStyle w:val="10"/>
        <w:tblpPr w:leftFromText="180" w:rightFromText="180" w:vertAnchor="text" w:horzAnchor="page" w:tblpX="1650" w:tblpY="468"/>
        <w:tblOverlap w:val="never"/>
        <w:tblW w:w="51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072"/>
        <w:gridCol w:w="960"/>
        <w:gridCol w:w="5830"/>
      </w:tblGrid>
      <w:tr w14:paraId="639C6F7C">
        <w:trPr>
          <w:trHeight w:val="352" w:hRule="atLeast"/>
        </w:trPr>
        <w:tc>
          <w:tcPr>
            <w:tcW w:w="892" w:type="dxa"/>
            <w:shd w:val="clear" w:color="auto" w:fill="D7D7D7"/>
            <w:noWrap/>
            <w:vAlign w:val="center"/>
          </w:tcPr>
          <w:p w14:paraId="02B6FE72">
            <w:pPr>
              <w:spacing w:after="0" w:line="252" w:lineRule="auto"/>
              <w:jc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b/>
                <w:sz w:val="21"/>
                <w:szCs w:val="21"/>
              </w:rPr>
              <w:t>序号</w:t>
            </w:r>
          </w:p>
        </w:tc>
        <w:tc>
          <w:tcPr>
            <w:tcW w:w="1072" w:type="dxa"/>
            <w:shd w:val="clear" w:color="auto" w:fill="D7D7D7"/>
            <w:noWrap/>
            <w:vAlign w:val="center"/>
          </w:tcPr>
          <w:p w14:paraId="16524866">
            <w:pPr>
              <w:spacing w:after="0" w:line="252" w:lineRule="auto"/>
              <w:jc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b/>
                <w:sz w:val="21"/>
                <w:szCs w:val="21"/>
              </w:rPr>
              <w:t>功能模块</w:t>
            </w:r>
          </w:p>
        </w:tc>
        <w:tc>
          <w:tcPr>
            <w:tcW w:w="960" w:type="dxa"/>
            <w:shd w:val="clear" w:color="auto" w:fill="D7D7D7"/>
            <w:noWrap/>
            <w:vAlign w:val="center"/>
          </w:tcPr>
          <w:p w14:paraId="1DD4F96B">
            <w:pPr>
              <w:spacing w:after="0" w:line="252" w:lineRule="auto"/>
              <w:jc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b/>
                <w:sz w:val="21"/>
                <w:szCs w:val="21"/>
              </w:rPr>
              <w:t>重要性</w:t>
            </w:r>
          </w:p>
        </w:tc>
        <w:tc>
          <w:tcPr>
            <w:tcW w:w="5830" w:type="dxa"/>
            <w:shd w:val="clear" w:color="auto" w:fill="D7D7D7"/>
            <w:noWrap/>
            <w:vAlign w:val="center"/>
          </w:tcPr>
          <w:p w14:paraId="0DB2CC92">
            <w:pPr>
              <w:spacing w:after="0" w:line="252" w:lineRule="auto"/>
              <w:jc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b/>
                <w:sz w:val="21"/>
                <w:szCs w:val="21"/>
              </w:rPr>
              <w:t>指标要求</w:t>
            </w:r>
          </w:p>
        </w:tc>
      </w:tr>
      <w:tr w14:paraId="645CCD9B">
        <w:trPr>
          <w:trHeight w:val="352" w:hRule="atLeast"/>
        </w:trPr>
        <w:tc>
          <w:tcPr>
            <w:tcW w:w="892" w:type="dxa"/>
            <w:noWrap/>
            <w:vAlign w:val="center"/>
          </w:tcPr>
          <w:p w14:paraId="3BDE390B">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1</w:t>
            </w:r>
          </w:p>
        </w:tc>
        <w:tc>
          <w:tcPr>
            <w:tcW w:w="1072" w:type="dxa"/>
            <w:noWrap/>
            <w:vAlign w:val="center"/>
          </w:tcPr>
          <w:p w14:paraId="08C44411">
            <w:pPr>
              <w:jc w:val="center"/>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医生端质控</w:t>
            </w:r>
          </w:p>
        </w:tc>
        <w:tc>
          <w:tcPr>
            <w:tcW w:w="960" w:type="dxa"/>
            <w:noWrap/>
            <w:vAlign w:val="center"/>
          </w:tcPr>
          <w:p w14:paraId="5E008E34">
            <w:pPr>
              <w:keepNext w:val="0"/>
              <w:keepLines w:val="0"/>
              <w:widowControl/>
              <w:suppressLineNumbers w:val="0"/>
              <w:jc w:val="center"/>
              <w:rPr>
                <w:rFonts w:hint="default" w:ascii="Times New Roman Regular" w:hAnsi="Times New Roman Regular" w:eastAsia="宋体" w:cs="Times New Roman Regular"/>
                <w:sz w:val="21"/>
                <w:szCs w:val="21"/>
              </w:rPr>
            </w:pPr>
            <w:r>
              <w:rPr>
                <w:rFonts w:ascii="宋体" w:hAnsi="宋体" w:eastAsia="宋体" w:cs="宋体"/>
                <w:kern w:val="0"/>
                <w:sz w:val="24"/>
                <w:szCs w:val="24"/>
                <w:lang w:val="en-US" w:eastAsia="zh-CN" w:bidi="ar"/>
              </w:rPr>
              <w:t>▲</w:t>
            </w:r>
          </w:p>
        </w:tc>
        <w:tc>
          <w:tcPr>
            <w:tcW w:w="5830" w:type="dxa"/>
            <w:noWrap/>
            <w:vAlign w:val="center"/>
          </w:tcPr>
          <w:p w14:paraId="55F84B7F">
            <w:pPr>
              <w:jc w:val="both"/>
              <w:rPr>
                <w:rFonts w:hint="default" w:ascii="Times New Roman Regular" w:hAnsi="Times New Roman Regular" w:eastAsia="宋体" w:cs="Times New Roman Regular"/>
                <w:sz w:val="21"/>
                <w:szCs w:val="21"/>
              </w:rPr>
            </w:pPr>
            <w:r>
              <w:rPr>
                <w:rFonts w:hint="default" w:ascii="Times New Roman Regular" w:hAnsi="Times New Roman Regular" w:eastAsia="宋体" w:cs="Times New Roman Regular"/>
                <w:b w:val="0"/>
                <w:sz w:val="21"/>
                <w:szCs w:val="21"/>
              </w:rPr>
              <w:t>支持在不改变医院既有病案首页录入、提交、打印及医生工作站使用流程的基础上，通过页面嵌入、单点登录、URL集成或接口调用等方式展示病案首页质控结果、首页评分、编码审核反馈及CMI/RW相关提示；支持错误字段定位，并支持临床端查看和反馈首页质控问题。</w:t>
            </w:r>
          </w:p>
        </w:tc>
      </w:tr>
      <w:tr w14:paraId="71B6FC07">
        <w:trPr>
          <w:trHeight w:val="352" w:hRule="atLeast"/>
        </w:trPr>
        <w:tc>
          <w:tcPr>
            <w:tcW w:w="892" w:type="dxa"/>
            <w:noWrap/>
            <w:vAlign w:val="center"/>
          </w:tcPr>
          <w:p w14:paraId="7EC20C86">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default" w:ascii="Times New Roman Regular" w:hAnsi="Times New Roman Regular" w:eastAsia="宋体" w:cs="Times New Roman Regular"/>
                <w:b w:val="0"/>
                <w:sz w:val="21"/>
                <w:szCs w:val="21"/>
              </w:rPr>
              <w:t>2</w:t>
            </w:r>
          </w:p>
        </w:tc>
        <w:tc>
          <w:tcPr>
            <w:tcW w:w="1072" w:type="dxa"/>
            <w:noWrap/>
            <w:vAlign w:val="center"/>
          </w:tcPr>
          <w:p w14:paraId="4C937E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21"/>
                <w:szCs w:val="21"/>
                <w:u w:val="none"/>
                <w:lang w:val="en-US" w:eastAsia="zh-CN" w:bidi="ar"/>
              </w:rPr>
            </w:pPr>
            <w:r>
              <w:rPr>
                <w:rFonts w:hint="default" w:ascii="Times New Roman Regular" w:hAnsi="Times New Roman Regular" w:eastAsia="宋体" w:cs="Times New Roman Regular"/>
                <w:i w:val="0"/>
                <w:iCs w:val="0"/>
                <w:color w:val="000000"/>
                <w:kern w:val="0"/>
                <w:sz w:val="21"/>
                <w:szCs w:val="21"/>
                <w:u w:val="none"/>
                <w:lang w:val="en-US" w:eastAsia="zh-CN" w:bidi="ar"/>
              </w:rPr>
              <w:t>CMI/RW指标统计</w:t>
            </w:r>
          </w:p>
        </w:tc>
        <w:tc>
          <w:tcPr>
            <w:tcW w:w="960" w:type="dxa"/>
            <w:noWrap/>
            <w:vAlign w:val="center"/>
          </w:tcPr>
          <w:p w14:paraId="0E8062F0">
            <w:pPr>
              <w:keepNext w:val="0"/>
              <w:keepLines w:val="0"/>
              <w:widowControl/>
              <w:suppressLineNumbers w:val="0"/>
              <w:jc w:val="center"/>
              <w:textAlignment w:val="bottom"/>
              <w:rPr>
                <w:rFonts w:hint="eastAsia" w:ascii="Times New Roman Regular" w:hAnsi="Times New Roman Regular" w:eastAsia="宋体" w:cs="Times New Roman Regular"/>
                <w:i w:val="0"/>
                <w:iCs w:val="0"/>
                <w:color w:val="000000"/>
                <w:kern w:val="0"/>
                <w:sz w:val="21"/>
                <w:szCs w:val="21"/>
                <w:u w:val="none"/>
                <w:lang w:val="en-US" w:eastAsia="zh-CN" w:bidi="ar"/>
              </w:rPr>
            </w:pPr>
            <w:r>
              <w:rPr>
                <w:rFonts w:hint="default" w:ascii="Times New Roman Regular" w:hAnsi="Times New Roman Regular" w:eastAsia="宋体" w:cs="Times New Roman Regular"/>
                <w:b w:val="0"/>
                <w:sz w:val="21"/>
                <w:szCs w:val="21"/>
              </w:rPr>
              <w:t>★</w:t>
            </w:r>
          </w:p>
        </w:tc>
        <w:tc>
          <w:tcPr>
            <w:tcW w:w="5830" w:type="dxa"/>
            <w:noWrap/>
            <w:vAlign w:val="center"/>
          </w:tcPr>
          <w:p w14:paraId="332667F7">
            <w:pPr>
              <w:keepNext w:val="0"/>
              <w:keepLines w:val="0"/>
              <w:widowControl/>
              <w:suppressLineNumbers w:val="0"/>
              <w:jc w:val="both"/>
              <w:textAlignment w:val="bottom"/>
              <w:rPr>
                <w:rFonts w:hint="default" w:ascii="Times New Roman Regular" w:hAnsi="Times New Roman Regular" w:cs="Times New Roman Regular"/>
                <w:i w:val="0"/>
                <w:iCs w:val="0"/>
                <w:color w:val="000000"/>
                <w:kern w:val="0"/>
                <w:sz w:val="21"/>
                <w:szCs w:val="21"/>
                <w:u w:val="none"/>
                <w:lang w:val="en-US" w:eastAsia="zh-CN" w:bidi="ar"/>
              </w:rPr>
            </w:pPr>
            <w:r>
              <w:rPr>
                <w:rFonts w:hint="default" w:ascii="Times New Roman Regular" w:hAnsi="Times New Roman Regular" w:eastAsia="宋体" w:cs="Times New Roman Regular"/>
                <w:i w:val="0"/>
                <w:iCs w:val="0"/>
                <w:color w:val="000000"/>
                <w:kern w:val="0"/>
                <w:sz w:val="21"/>
                <w:szCs w:val="21"/>
                <w:u w:val="none"/>
                <w:lang w:val="en-US" w:eastAsia="zh-CN" w:bidi="ar"/>
              </w:rPr>
              <w:t>支持通过接口调用或数据导入方式获取医院现有DRG分组结果及相关指标信息，展示DRG组、RW值等基础信息；支持基于病案首页数据及医院现有DRG分组结果或相关接口数据，对CMI值、RW值等指标进行统计展示，并支持按月份、科室等维度进行查询、对比和导出。该功能用于病案首页质控相关统计分析，不要求建设独立DRG分组器、DIP分组、医保支付管理或DRG运营分析系统。</w:t>
            </w:r>
          </w:p>
        </w:tc>
      </w:tr>
      <w:tr w14:paraId="40AFD4F2">
        <w:trPr>
          <w:trHeight w:val="352" w:hRule="atLeast"/>
        </w:trPr>
        <w:tc>
          <w:tcPr>
            <w:tcW w:w="892" w:type="dxa"/>
            <w:noWrap/>
            <w:vAlign w:val="center"/>
          </w:tcPr>
          <w:p w14:paraId="1BDE0AD5">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default" w:ascii="Times New Roman Regular" w:hAnsi="Times New Roman Regular" w:eastAsia="宋体" w:cs="Times New Roman Regular"/>
                <w:b w:val="0"/>
                <w:sz w:val="21"/>
                <w:szCs w:val="21"/>
              </w:rPr>
              <w:t>3</w:t>
            </w:r>
          </w:p>
        </w:tc>
        <w:tc>
          <w:tcPr>
            <w:tcW w:w="1072" w:type="dxa"/>
            <w:shd w:val="clear" w:color="auto" w:fill="auto"/>
            <w:noWrap/>
            <w:vAlign w:val="center"/>
          </w:tcPr>
          <w:p w14:paraId="76E0C1B1">
            <w:pPr>
              <w:spacing w:after="0" w:line="252" w:lineRule="auto"/>
              <w:jc w:val="center"/>
              <w:rPr>
                <w:rFonts w:hint="default" w:ascii="Times New Roman Regular" w:hAnsi="Times New Roman Regular" w:eastAsia="宋体" w:cs="Times New Roman Regular"/>
                <w:i w:val="0"/>
                <w:iCs w:val="0"/>
                <w:color w:val="000000"/>
                <w:kern w:val="0"/>
                <w:sz w:val="21"/>
                <w:szCs w:val="21"/>
                <w:u w:val="none"/>
                <w:lang w:val="en-US" w:eastAsia="zh-CN" w:bidi="ar"/>
              </w:rPr>
            </w:pPr>
            <w:r>
              <w:rPr>
                <w:rFonts w:hint="default" w:ascii="Times New Roman Regular" w:hAnsi="Times New Roman Regular" w:eastAsia="宋体" w:cs="Times New Roman Regular"/>
                <w:i w:val="0"/>
                <w:iCs w:val="0"/>
                <w:color w:val="000000"/>
                <w:kern w:val="0"/>
                <w:sz w:val="21"/>
                <w:szCs w:val="21"/>
                <w:u w:val="none"/>
                <w:lang w:val="en-US" w:eastAsia="zh-CN" w:bidi="ar"/>
              </w:rPr>
              <w:t>编码字典/编码标准管理</w:t>
            </w:r>
          </w:p>
        </w:tc>
        <w:tc>
          <w:tcPr>
            <w:tcW w:w="960" w:type="dxa"/>
            <w:shd w:val="clear" w:color="auto" w:fill="auto"/>
            <w:noWrap/>
            <w:vAlign w:val="center"/>
          </w:tcPr>
          <w:p w14:paraId="75C37177">
            <w:pPr>
              <w:spacing w:after="0" w:line="252" w:lineRule="auto"/>
              <w:jc w:val="center"/>
              <w:rPr>
                <w:rFonts w:hint="eastAsia" w:ascii="Times New Roman Regular" w:hAnsi="Times New Roman Regular" w:eastAsia="宋体" w:cs="Times New Roman Regular"/>
                <w:b w:val="0"/>
                <w:kern w:val="2"/>
                <w:sz w:val="21"/>
                <w:szCs w:val="21"/>
                <w:lang w:val="en-US" w:eastAsia="zh-CN" w:bidi="ar-SA"/>
              </w:rPr>
            </w:pPr>
            <w:r>
              <w:rPr>
                <w:rFonts w:hint="eastAsia" w:ascii="Times New Roman Regular" w:hAnsi="Times New Roman Regular" w:eastAsia="宋体" w:cs="Times New Roman Regular"/>
                <w:b w:val="0"/>
                <w:kern w:val="2"/>
                <w:sz w:val="21"/>
                <w:szCs w:val="21"/>
                <w:lang w:val="en-US" w:eastAsia="zh-CN" w:bidi="ar-SA"/>
              </w:rPr>
              <w:t>-</w:t>
            </w:r>
          </w:p>
        </w:tc>
        <w:tc>
          <w:tcPr>
            <w:tcW w:w="5830" w:type="dxa"/>
            <w:shd w:val="clear" w:color="auto" w:fill="auto"/>
            <w:noWrap/>
            <w:vAlign w:val="center"/>
          </w:tcPr>
          <w:p w14:paraId="2A2516EE">
            <w:pPr>
              <w:spacing w:after="0" w:line="252" w:lineRule="auto"/>
              <w:jc w:val="both"/>
              <w:rPr>
                <w:rFonts w:hint="default" w:ascii="Times New Roman Regular" w:hAnsi="Times New Roman Regular" w:eastAsia="宋体" w:cs="Times New Roman Regular"/>
                <w:i w:val="0"/>
                <w:iCs w:val="0"/>
                <w:color w:val="000000"/>
                <w:kern w:val="0"/>
                <w:sz w:val="21"/>
                <w:szCs w:val="21"/>
                <w:u w:val="none"/>
                <w:lang w:val="en-US" w:eastAsia="zh-CN" w:bidi="ar"/>
              </w:rPr>
            </w:pPr>
            <w:r>
              <w:rPr>
                <w:rFonts w:hint="default" w:ascii="Times New Roman Regular" w:hAnsi="Times New Roman Regular" w:eastAsia="宋体" w:cs="Times New Roman Regular"/>
                <w:i w:val="0"/>
                <w:iCs w:val="0"/>
                <w:color w:val="000000"/>
                <w:kern w:val="0"/>
                <w:sz w:val="21"/>
                <w:szCs w:val="21"/>
                <w:u w:val="none"/>
                <w:lang w:val="en-US" w:eastAsia="zh-CN" w:bidi="ar"/>
              </w:rPr>
              <w:t>支持同步或引用医院既有诊断编码、手术操作编码及相关标准字典，满足病案首页质控、编码审核和CMI/RW统计所需的编码查询、版本对照和规则校验。</w:t>
            </w:r>
          </w:p>
        </w:tc>
      </w:tr>
      <w:tr w14:paraId="7A44A33E">
        <w:trPr>
          <w:trHeight w:val="352" w:hRule="atLeast"/>
        </w:trPr>
        <w:tc>
          <w:tcPr>
            <w:tcW w:w="892" w:type="dxa"/>
            <w:noWrap/>
            <w:vAlign w:val="center"/>
          </w:tcPr>
          <w:p w14:paraId="4966498F">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default" w:ascii="Times New Roman Regular" w:hAnsi="Times New Roman Regular" w:eastAsia="宋体" w:cs="Times New Roman Regular"/>
                <w:b w:val="0"/>
                <w:sz w:val="21"/>
                <w:szCs w:val="21"/>
              </w:rPr>
              <w:t>4</w:t>
            </w:r>
          </w:p>
        </w:tc>
        <w:tc>
          <w:tcPr>
            <w:tcW w:w="1072" w:type="dxa"/>
            <w:shd w:val="clear" w:color="auto" w:fill="auto"/>
            <w:noWrap/>
            <w:vAlign w:val="center"/>
          </w:tcPr>
          <w:p w14:paraId="508E319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首页质控数据查询与追溯</w:t>
            </w:r>
          </w:p>
        </w:tc>
        <w:tc>
          <w:tcPr>
            <w:tcW w:w="960" w:type="dxa"/>
            <w:shd w:val="clear" w:color="auto" w:fill="auto"/>
            <w:noWrap/>
            <w:vAlign w:val="center"/>
          </w:tcPr>
          <w:p w14:paraId="47AAF43F">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3BF954ED">
            <w:pPr>
              <w:jc w:val="both"/>
              <w:rPr>
                <w:rFonts w:hint="eastAsia"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提供病案首页质控数据查询功能，支持按出院时间、病案号、中西医版本、主诊断、主手术、已有DRG分组结果、CMI/RW相关指标、问题预警、死亡病案、归档状态、编码状态等多维度检索；支持编码审核时查看患者本次住院相关临床数据，包括病案首页、入院记录、病程记录、出院/死亡记录、医嘱、检验检查、谈话记录等。相关临床资料应通过接口读取、页面跳转或调阅方式获取，不替代既有住院电子病历系统的病历浏览、编辑、归档和病案管理功能。支持记录首页数据历次修改记录，支持查看各科室、各医师质控次数汇总</w:t>
            </w:r>
            <w:r>
              <w:rPr>
                <w:rFonts w:hint="eastAsia" w:ascii="Times New Roman Regular" w:hAnsi="Times New Roman Regular" w:cs="Times New Roman Regular"/>
                <w:b w:val="0"/>
                <w:sz w:val="21"/>
                <w:szCs w:val="21"/>
                <w:lang w:eastAsia="zh-CN"/>
              </w:rPr>
              <w:t>。</w:t>
            </w:r>
          </w:p>
        </w:tc>
      </w:tr>
      <w:tr w14:paraId="00CFD235">
        <w:trPr>
          <w:trHeight w:val="352" w:hRule="atLeast"/>
        </w:trPr>
        <w:tc>
          <w:tcPr>
            <w:tcW w:w="892" w:type="dxa"/>
            <w:noWrap/>
            <w:vAlign w:val="center"/>
          </w:tcPr>
          <w:p w14:paraId="4680FD5D">
            <w:pPr>
              <w:spacing w:after="0" w:line="252" w:lineRule="auto"/>
              <w:jc w:val="center"/>
              <w:rPr>
                <w:rFonts w:hint="default" w:ascii="Times New Roman Regular" w:hAnsi="Times New Roman Regular" w:eastAsia="宋体" w:cs="Times New Roman Regular"/>
                <w:b w:val="0"/>
                <w:sz w:val="21"/>
                <w:szCs w:val="21"/>
              </w:rPr>
            </w:pPr>
            <w:r>
              <w:rPr>
                <w:rFonts w:hint="eastAsia" w:ascii="Times New Roman Regular" w:hAnsi="Times New Roman Regular" w:cs="Times New Roman Regular"/>
                <w:b w:val="0"/>
                <w:sz w:val="21"/>
                <w:szCs w:val="21"/>
                <w:lang w:val="en-US" w:eastAsia="zh-CN"/>
              </w:rPr>
              <w:t>5</w:t>
            </w:r>
          </w:p>
        </w:tc>
        <w:tc>
          <w:tcPr>
            <w:tcW w:w="1072" w:type="dxa"/>
            <w:shd w:val="clear" w:color="auto" w:fill="auto"/>
            <w:noWrap/>
            <w:vAlign w:val="center"/>
          </w:tcPr>
          <w:p w14:paraId="4CA9DFDC">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default" w:ascii="Times New Roman Regular" w:hAnsi="Times New Roman Regular" w:eastAsia="宋体" w:cs="Times New Roman Regular"/>
                <w:i w:val="0"/>
                <w:iCs w:val="0"/>
                <w:color w:val="000000"/>
                <w:kern w:val="2"/>
                <w:sz w:val="21"/>
                <w:szCs w:val="21"/>
                <w:u w:val="none"/>
                <w:lang w:val="en-US" w:eastAsia="zh-CN" w:bidi="ar-SA"/>
              </w:rPr>
              <w:t>编码审核、反馈与消息提醒</w:t>
            </w:r>
          </w:p>
        </w:tc>
        <w:tc>
          <w:tcPr>
            <w:tcW w:w="960" w:type="dxa"/>
            <w:shd w:val="clear" w:color="auto" w:fill="auto"/>
            <w:noWrap/>
            <w:vAlign w:val="center"/>
          </w:tcPr>
          <w:p w14:paraId="127890F0">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eastAsia" w:ascii="Times New Roman Regular" w:hAnsi="Times New Roman Regular" w:cs="Times New Roman Regular"/>
                <w:b w:val="0"/>
                <w:sz w:val="21"/>
                <w:szCs w:val="21"/>
                <w:lang w:val="en-US" w:eastAsia="zh-CN"/>
              </w:rPr>
              <w:t>-</w:t>
            </w:r>
          </w:p>
        </w:tc>
        <w:tc>
          <w:tcPr>
            <w:tcW w:w="5830" w:type="dxa"/>
            <w:shd w:val="clear" w:color="auto" w:fill="auto"/>
            <w:noWrap/>
            <w:vAlign w:val="center"/>
          </w:tcPr>
          <w:p w14:paraId="09BC6F1E">
            <w:pPr>
              <w:spacing w:after="0" w:line="252" w:lineRule="auto"/>
              <w:jc w:val="both"/>
              <w:rPr>
                <w:rFonts w:hint="eastAsia"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支持编码审核通过或不通过，审核不通过数据可打回并反馈；支持将编码问题反馈至临床医师，反馈消息应包含发送人、接收人、推送内容、推送时间及编码审核结果等信息，并支持列表数据查询和导出；支持通过企业微信、短信平台、电子邮箱、系统提醒等方式进行消息提醒；支持临床医师对质控条件或编码审核问题进行反馈，病案室可对临床反馈问题进行查看和处理。该功能用于病案首页质控和编码审核反馈，不替代既有病案首页填报、编辑和诊断手术排序功能。</w:t>
            </w:r>
          </w:p>
        </w:tc>
      </w:tr>
      <w:tr w14:paraId="6851699B">
        <w:trPr>
          <w:trHeight w:val="352" w:hRule="atLeast"/>
        </w:trPr>
        <w:tc>
          <w:tcPr>
            <w:tcW w:w="892" w:type="dxa"/>
            <w:shd w:val="clear" w:color="auto" w:fill="auto"/>
            <w:noWrap/>
            <w:vAlign w:val="center"/>
          </w:tcPr>
          <w:p w14:paraId="31A213AB">
            <w:pPr>
              <w:spacing w:after="0" w:line="252" w:lineRule="auto"/>
              <w:jc w:val="center"/>
              <w:rPr>
                <w:rFonts w:hint="default" w:ascii="Times New Roman Regular" w:hAnsi="Times New Roman Regular" w:eastAsia="宋体" w:cs="Times New Roman Regular"/>
                <w:i w:val="0"/>
                <w:iCs w:val="0"/>
                <w:color w:val="000000"/>
                <w:kern w:val="2"/>
                <w:sz w:val="21"/>
                <w:szCs w:val="21"/>
                <w:u w:val="none"/>
                <w:lang w:val="en-US" w:eastAsia="zh-CN" w:bidi="ar-SA"/>
              </w:rPr>
            </w:pPr>
            <w:r>
              <w:rPr>
                <w:rFonts w:hint="default" w:ascii="Times New Roman Regular" w:hAnsi="Times New Roman Regular" w:eastAsia="宋体" w:cs="Times New Roman Regular"/>
                <w:b w:val="0"/>
                <w:sz w:val="21"/>
                <w:szCs w:val="21"/>
              </w:rPr>
              <w:t>6</w:t>
            </w:r>
          </w:p>
        </w:tc>
        <w:tc>
          <w:tcPr>
            <w:tcW w:w="1072" w:type="dxa"/>
            <w:shd w:val="clear" w:color="auto" w:fill="auto"/>
            <w:noWrap/>
            <w:vAlign w:val="center"/>
          </w:tcPr>
          <w:p w14:paraId="64795528">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首页质控规则与条件管理</w:t>
            </w:r>
          </w:p>
        </w:tc>
        <w:tc>
          <w:tcPr>
            <w:tcW w:w="960" w:type="dxa"/>
            <w:shd w:val="clear" w:color="auto" w:fill="auto"/>
            <w:noWrap/>
            <w:vAlign w:val="center"/>
          </w:tcPr>
          <w:p w14:paraId="2042D3F7">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12711A44">
            <w:pPr>
              <w:jc w:val="both"/>
              <w:rPr>
                <w:rFonts w:hint="default" w:ascii="Times New Roman Regular" w:hAnsi="Times New Roman Regular" w:eastAsia="宋体" w:cs="Times New Roman Regular"/>
                <w:b w:val="0"/>
                <w:sz w:val="21"/>
                <w:szCs w:val="21"/>
              </w:rPr>
            </w:pPr>
            <w:r>
              <w:rPr>
                <w:rFonts w:hint="default" w:ascii="Times New Roman Regular" w:hAnsi="Times New Roman Regular" w:eastAsia="宋体" w:cs="Times New Roman Regular"/>
                <w:b w:val="0"/>
                <w:sz w:val="21"/>
                <w:szCs w:val="21"/>
              </w:rPr>
              <w:t>支持首页完整性质控、值域范围质控、逻辑合理性质控、新生儿逻辑质控、产科逻辑质控等基础规则，校验首页数据是否完整、必填项是否填写、数据项是否在标准值域范围内、各数据项之间是否存在逻辑矛盾；支持对首页与入院信息、检验检查、出院记录等数据的一致性进行校验。</w:t>
            </w:r>
          </w:p>
          <w:p w14:paraId="0280F193">
            <w:pPr>
              <w:jc w:val="both"/>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支持对首页质控点、编码质控点、评分表、质控级别、提醒级别等进行配置维护，支持规则停用或启用，可设置规则强制或非强制、规则分类、适用范围及启用状态；对于临床反馈有疑问的规则，病案室可进行质控条件禁用审核，并保留审核记录。</w:t>
            </w:r>
          </w:p>
        </w:tc>
      </w:tr>
      <w:tr w14:paraId="08B65032">
        <w:trPr>
          <w:trHeight w:val="352" w:hRule="atLeast"/>
        </w:trPr>
        <w:tc>
          <w:tcPr>
            <w:tcW w:w="892" w:type="dxa"/>
            <w:shd w:val="clear" w:color="auto" w:fill="auto"/>
            <w:noWrap/>
            <w:vAlign w:val="center"/>
          </w:tcPr>
          <w:p w14:paraId="3F03BCE5">
            <w:pPr>
              <w:spacing w:after="0" w:line="252" w:lineRule="auto"/>
              <w:jc w:val="center"/>
              <w:rPr>
                <w:rFonts w:hint="default" w:ascii="Times New Roman Regular" w:hAnsi="Times New Roman Regular" w:eastAsia="宋体" w:cs="Times New Roman Regular"/>
                <w:i w:val="0"/>
                <w:iCs w:val="0"/>
                <w:color w:val="000000"/>
                <w:kern w:val="2"/>
                <w:sz w:val="21"/>
                <w:szCs w:val="21"/>
                <w:highlight w:val="yellow"/>
                <w:u w:val="none"/>
                <w:lang w:val="en-US" w:eastAsia="zh-CN" w:bidi="ar-SA"/>
              </w:rPr>
            </w:pPr>
            <w:r>
              <w:rPr>
                <w:rFonts w:hint="default" w:ascii="Times New Roman Regular" w:hAnsi="Times New Roman Regular" w:eastAsia="宋体" w:cs="Times New Roman Regular"/>
                <w:b w:val="0"/>
                <w:sz w:val="21"/>
                <w:szCs w:val="21"/>
              </w:rPr>
              <w:t>7</w:t>
            </w:r>
          </w:p>
        </w:tc>
        <w:tc>
          <w:tcPr>
            <w:tcW w:w="1072" w:type="dxa"/>
            <w:shd w:val="clear" w:color="auto" w:fill="auto"/>
            <w:noWrap/>
            <w:vAlign w:val="center"/>
          </w:tcPr>
          <w:p w14:paraId="651988F7">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诊断手术质控</w:t>
            </w:r>
          </w:p>
        </w:tc>
        <w:tc>
          <w:tcPr>
            <w:tcW w:w="960" w:type="dxa"/>
            <w:shd w:val="clear" w:color="auto" w:fill="auto"/>
            <w:noWrap/>
            <w:vAlign w:val="center"/>
          </w:tcPr>
          <w:p w14:paraId="2C949EB4">
            <w:pPr>
              <w:jc w:val="center"/>
              <w:rPr>
                <w:rFonts w:hint="eastAsia"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711E3069">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支持诊断逻辑质控，包括无效主诊断、主诊断选择错误、合并编码分离、疾病逻辑冲突、疾病手术对应错误或缺失、附加编码漏填、编码更特异或残余类目、疾病不包括、编码错误或缺失、肿瘤与形态学编码错误等；支持对其他诊断遗漏、出院诊断遗漏、既往史遗漏、RIS报告提示疾病遗漏等进行提醒。</w:t>
            </w:r>
          </w:p>
        </w:tc>
      </w:tr>
      <w:tr w14:paraId="496B855B">
        <w:trPr>
          <w:trHeight w:val="352" w:hRule="atLeast"/>
        </w:trPr>
        <w:tc>
          <w:tcPr>
            <w:tcW w:w="892" w:type="dxa"/>
            <w:shd w:val="clear" w:color="auto" w:fill="auto"/>
            <w:noWrap/>
            <w:vAlign w:val="center"/>
          </w:tcPr>
          <w:p w14:paraId="779BE7CC">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8</w:t>
            </w:r>
          </w:p>
        </w:tc>
        <w:tc>
          <w:tcPr>
            <w:tcW w:w="1072" w:type="dxa"/>
            <w:shd w:val="clear" w:color="auto" w:fill="auto"/>
            <w:noWrap/>
            <w:vAlign w:val="center"/>
          </w:tcPr>
          <w:p w14:paraId="77BF8B17">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手术质控</w:t>
            </w:r>
          </w:p>
        </w:tc>
        <w:tc>
          <w:tcPr>
            <w:tcW w:w="960" w:type="dxa"/>
            <w:shd w:val="clear" w:color="auto" w:fill="auto"/>
            <w:noWrap/>
            <w:vAlign w:val="center"/>
          </w:tcPr>
          <w:p w14:paraId="11ADE737">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534B0186">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支持手术逻辑质控，包括无效主手术规则、手术操作错误或缺失、手术疾病对应错误缺失、不包括规则、另编规则、分类轴心冲突、主要手术与主要诊断匹配等；支持同步患者费用明细，校验手术/操作编码漏填、手术入路错误、四级手术分级选择错误等问题。</w:t>
            </w:r>
          </w:p>
        </w:tc>
      </w:tr>
      <w:tr w14:paraId="016893F0">
        <w:trPr>
          <w:trHeight w:val="352" w:hRule="atLeast"/>
        </w:trPr>
        <w:tc>
          <w:tcPr>
            <w:tcW w:w="892" w:type="dxa"/>
            <w:shd w:val="clear" w:color="auto" w:fill="auto"/>
            <w:noWrap/>
            <w:vAlign w:val="center"/>
          </w:tcPr>
          <w:p w14:paraId="072DDA39">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9</w:t>
            </w:r>
          </w:p>
        </w:tc>
        <w:tc>
          <w:tcPr>
            <w:tcW w:w="1072" w:type="dxa"/>
            <w:shd w:val="clear" w:color="auto" w:fill="auto"/>
            <w:noWrap/>
            <w:vAlign w:val="center"/>
          </w:tcPr>
          <w:p w14:paraId="0B52DC70">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kern w:val="2"/>
                <w:sz w:val="21"/>
                <w:szCs w:val="21"/>
                <w:lang w:val="en-US" w:eastAsia="zh-CN" w:bidi="ar-SA"/>
              </w:rPr>
              <w:t>首页评分与质量统计</w:t>
            </w:r>
          </w:p>
        </w:tc>
        <w:tc>
          <w:tcPr>
            <w:tcW w:w="960" w:type="dxa"/>
            <w:shd w:val="clear" w:color="auto" w:fill="auto"/>
            <w:noWrap/>
            <w:vAlign w:val="center"/>
          </w:tcPr>
          <w:p w14:paraId="5B5ABF5D">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5381379F">
            <w:pPr>
              <w:jc w:val="both"/>
              <w:rPr>
                <w:rFonts w:hint="default" w:ascii="Times New Roman Regular" w:hAnsi="Times New Roman Regular" w:eastAsia="宋体" w:cs="Times New Roman Regular"/>
                <w:b w:val="0"/>
                <w:sz w:val="21"/>
                <w:szCs w:val="21"/>
              </w:rPr>
            </w:pPr>
            <w:r>
              <w:rPr>
                <w:rFonts w:hint="default" w:ascii="Times New Roman Regular" w:hAnsi="Times New Roman Regular" w:eastAsia="宋体" w:cs="Times New Roman Regular"/>
                <w:b w:val="0"/>
                <w:sz w:val="21"/>
                <w:szCs w:val="21"/>
              </w:rPr>
              <w:t>系统应依据《住院病案首页数据填写质量规范》等要求自动评分，减分项标红显示，支持多套评分标准；支持病案室人工评分，可选择评分项所属分类、评分项、扣分理由及整改意见，支持添加、删除或调整缺陷问题影响评分结果，首页页面展示人工评分分值并支持查看扣分明细。</w:t>
            </w:r>
          </w:p>
          <w:p w14:paraId="63EA0F51">
            <w:pPr>
              <w:jc w:val="both"/>
              <w:rPr>
                <w:rFonts w:hint="default" w:ascii="Times New Roman Regular" w:hAnsi="Times New Roman Regular" w:eastAsia="宋体" w:cs="Times New Roman Regular"/>
                <w:b w:val="0"/>
                <w:sz w:val="21"/>
                <w:szCs w:val="21"/>
              </w:rPr>
            </w:pPr>
            <w:r>
              <w:rPr>
                <w:rFonts w:hint="default" w:ascii="Times New Roman Regular" w:hAnsi="Times New Roman Regular" w:eastAsia="宋体" w:cs="Times New Roman Regular"/>
                <w:b w:val="0"/>
                <w:sz w:val="21"/>
                <w:szCs w:val="21"/>
              </w:rPr>
              <w:t>支持从缺陷类别维度统计各缺陷项目发生频次及占比；支持从科室角度分析各缺陷项目分布情况，包含科室名称、缺陷项目、发生频次及占比；支持对缺陷项目进行统计，包含缺陷次数、缺陷占比、重度缺陷数量及重度缺陷占比。</w:t>
            </w:r>
          </w:p>
          <w:p w14:paraId="30D748F1">
            <w:pPr>
              <w:jc w:val="both"/>
              <w:rPr>
                <w:rFonts w:hint="default" w:ascii="Times New Roman Regular" w:hAnsi="Times New Roman Regular" w:eastAsia="宋体" w:cs="Times New Roman Regular"/>
                <w:b w:val="0"/>
                <w:kern w:val="2"/>
                <w:sz w:val="21"/>
                <w:szCs w:val="21"/>
                <w:lang w:val="en-US" w:eastAsia="zh-CN" w:bidi="ar-SA"/>
              </w:rPr>
            </w:pPr>
            <w:r>
              <w:rPr>
                <w:rFonts w:hint="default" w:ascii="Times New Roman Regular" w:hAnsi="Times New Roman Regular" w:eastAsia="宋体" w:cs="Times New Roman Regular"/>
                <w:b w:val="0"/>
                <w:sz w:val="21"/>
                <w:szCs w:val="21"/>
              </w:rPr>
              <w:t>支持按年度、季度、月份、时间区间对住院病案首页数据质量进行汇总统计；不同角色具有不同数据权限；支持医师、科主任、病案室、院区等多维度统计评分排名；支持Excel格式导出数据。</w:t>
            </w:r>
          </w:p>
        </w:tc>
      </w:tr>
      <w:tr w14:paraId="7884C204">
        <w:trPr>
          <w:trHeight w:val="352" w:hRule="atLeast"/>
        </w:trPr>
        <w:tc>
          <w:tcPr>
            <w:tcW w:w="892" w:type="dxa"/>
            <w:shd w:val="clear" w:color="auto" w:fill="auto"/>
            <w:noWrap/>
            <w:vAlign w:val="center"/>
          </w:tcPr>
          <w:p w14:paraId="7173C42A">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10</w:t>
            </w:r>
          </w:p>
        </w:tc>
        <w:tc>
          <w:tcPr>
            <w:tcW w:w="1072" w:type="dxa"/>
            <w:shd w:val="clear" w:color="auto" w:fill="auto"/>
            <w:noWrap/>
            <w:vAlign w:val="center"/>
          </w:tcPr>
          <w:p w14:paraId="1ADE326B">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系统集成与对接</w:t>
            </w:r>
          </w:p>
        </w:tc>
        <w:tc>
          <w:tcPr>
            <w:tcW w:w="960" w:type="dxa"/>
            <w:shd w:val="clear" w:color="auto" w:fill="auto"/>
            <w:noWrap/>
            <w:vAlign w:val="center"/>
          </w:tcPr>
          <w:p w14:paraId="3E34D2BC">
            <w:pPr>
              <w:jc w:val="center"/>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w:t>
            </w:r>
          </w:p>
        </w:tc>
        <w:tc>
          <w:tcPr>
            <w:tcW w:w="5830" w:type="dxa"/>
            <w:shd w:val="clear" w:color="auto" w:fill="auto"/>
            <w:noWrap/>
            <w:vAlign w:val="center"/>
          </w:tcPr>
          <w:p w14:paraId="51403D64">
            <w:pPr>
              <w:jc w:val="both"/>
              <w:rPr>
                <w:rFonts w:hint="default" w:ascii="Times New Roman Regular" w:hAnsi="Times New Roman Regular" w:eastAsia="宋体" w:cs="Times New Roman Regular"/>
                <w:kern w:val="2"/>
                <w:sz w:val="21"/>
                <w:szCs w:val="21"/>
                <w:lang w:val="en-US" w:eastAsia="zh-CN" w:bidi="ar-SA"/>
              </w:rPr>
            </w:pPr>
            <w:r>
              <w:rPr>
                <w:rFonts w:hint="default" w:ascii="Times New Roman Regular" w:hAnsi="Times New Roman Regular" w:eastAsia="宋体" w:cs="Times New Roman Regular"/>
                <w:b w:val="0"/>
                <w:sz w:val="21"/>
                <w:szCs w:val="21"/>
              </w:rPr>
              <w:t>系统应支持与医院现有病案首页、HIS、EMR、医保、集成平台等相关系统进行对接，支持WebService、HL7、HTTP等常用接口方式，并提供接口同步日志与异常提示管理。涉及医院现有第三方系统配合、接口开放、联调测试及必要改造的，投标人应作为本项目系统对接工作的牵头实施方，负责对接需求梳理、接口方案编制、厂商沟通协调、联调测试组织、问题跟踪处理、上线验证及相关文档交付等工作；因本项目建设所需产生的接口开发、系统联调、适配改造及多厂商协同相关费用均应包含在投标报价中，医院不再另行支付。应优先复用医院现有电子病历、病案首页及集成平台接口能力，避免对既有系统进行重复建设和重复改造</w:t>
            </w:r>
            <w:r>
              <w:rPr>
                <w:rFonts w:hint="eastAsia" w:ascii="Times New Roman Regular" w:hAnsi="Times New Roman Regular" w:cs="Times New Roman Regular"/>
                <w:b w:val="0"/>
                <w:sz w:val="21"/>
                <w:szCs w:val="21"/>
                <w:lang w:eastAsia="zh-CN"/>
              </w:rPr>
              <w:t>。</w:t>
            </w:r>
            <w:r>
              <w:rPr>
                <w:rFonts w:hint="eastAsia" w:ascii="Times New Roman Regular" w:hAnsi="Times New Roman Regular" w:eastAsia="宋体" w:cs="Times New Roman Regular"/>
                <w:b w:val="0"/>
                <w:sz w:val="21"/>
                <w:szCs w:val="21"/>
                <w:lang w:val="en-US" w:eastAsia="zh-CN"/>
              </w:rPr>
              <w:t>支持信创的免费升级和改造。</w:t>
            </w:r>
            <w:bookmarkStart w:id="1" w:name="_GoBack"/>
            <w:bookmarkEnd w:id="1"/>
          </w:p>
        </w:tc>
      </w:tr>
    </w:tbl>
    <w:p w14:paraId="7165AD92">
      <w:pPr>
        <w:spacing w:line="360" w:lineRule="auto"/>
        <w:rPr>
          <w:rFonts w:eastAsia="楷体"/>
          <w:b/>
          <w:bCs/>
          <w:sz w:val="28"/>
          <w:szCs w:val="28"/>
        </w:rPr>
      </w:pPr>
      <w:r>
        <w:rPr>
          <w:rFonts w:eastAsia="楷体"/>
          <w:b/>
          <w:bCs/>
          <w:sz w:val="28"/>
          <w:szCs w:val="28"/>
        </w:rPr>
        <w:t>2、系统和数据要求</w:t>
      </w:r>
    </w:p>
    <w:p w14:paraId="4685B62C">
      <w:pPr>
        <w:numPr>
          <w:ilvl w:val="0"/>
          <w:numId w:val="4"/>
        </w:numPr>
        <w:spacing w:line="360" w:lineRule="auto"/>
        <w:rPr>
          <w:rFonts w:eastAsia="FangSong"/>
          <w:b/>
          <w:bCs/>
          <w:sz w:val="24"/>
        </w:rPr>
      </w:pPr>
      <w:r>
        <w:rPr>
          <w:rFonts w:eastAsia="FangSong"/>
          <w:b/>
          <w:bCs/>
          <w:sz w:val="24"/>
        </w:rPr>
        <w:t>数据接口要求</w:t>
      </w:r>
    </w:p>
    <w:p w14:paraId="4B72FAC6">
      <w:pPr>
        <w:widowControl/>
        <w:spacing w:line="360" w:lineRule="auto"/>
        <w:rPr>
          <w:rFonts w:eastAsia="FangSong"/>
          <w:kern w:val="0"/>
          <w:sz w:val="24"/>
        </w:rPr>
      </w:pPr>
      <w:r>
        <w:rPr>
          <w:kern w:val="0"/>
          <w:sz w:val="24"/>
        </w:rPr>
        <w:t>①</w:t>
      </w:r>
      <w:r>
        <w:rPr>
          <w:rFonts w:eastAsia="FangSong"/>
          <w:kern w:val="0"/>
          <w:sz w:val="24"/>
        </w:rPr>
        <w:t>可以方便地对数据库进行各种操作，可以处理各种报表，可以直接与SQL Server、MySQL、Oracle等大型数据库连接；</w:t>
      </w:r>
    </w:p>
    <w:p w14:paraId="4D1291AC">
      <w:pPr>
        <w:widowControl/>
        <w:spacing w:line="360" w:lineRule="auto"/>
        <w:rPr>
          <w:rFonts w:eastAsia="FangSong"/>
          <w:kern w:val="0"/>
          <w:sz w:val="24"/>
        </w:rPr>
      </w:pPr>
      <w:r>
        <w:rPr>
          <w:kern w:val="0"/>
          <w:sz w:val="24"/>
        </w:rPr>
        <w:t>②</w:t>
      </w:r>
      <w:r>
        <w:rPr>
          <w:rFonts w:eastAsia="FangSong"/>
          <w:kern w:val="0"/>
          <w:sz w:val="24"/>
        </w:rPr>
        <w:t>能与</w:t>
      </w:r>
      <w:r>
        <w:rPr>
          <w:rFonts w:hint="eastAsia" w:eastAsia="FangSong"/>
          <w:kern w:val="0"/>
          <w:sz w:val="24"/>
        </w:rPr>
        <w:t>医院数据平台、</w:t>
      </w:r>
      <w:r>
        <w:rPr>
          <w:rFonts w:hint="eastAsia" w:eastAsia="FangSong"/>
          <w:kern w:val="0"/>
          <w:sz w:val="24"/>
          <w:lang w:eastAsia="zh-CN"/>
        </w:rPr>
        <w:t>HIS、EMR、LIS、</w:t>
      </w:r>
      <w:r>
        <w:rPr>
          <w:rFonts w:hint="eastAsia" w:eastAsia="FangSong"/>
          <w:kern w:val="0"/>
          <w:sz w:val="24"/>
        </w:rPr>
        <w:t>互联网医院医等</w:t>
      </w:r>
      <w:r>
        <w:rPr>
          <w:rFonts w:hint="eastAsia" w:eastAsia="FangSong"/>
          <w:kern w:val="0"/>
          <w:sz w:val="24"/>
          <w:lang w:val="en-US" w:eastAsia="zh-CN"/>
        </w:rPr>
        <w:t>各</w:t>
      </w:r>
      <w:r>
        <w:rPr>
          <w:rFonts w:hint="eastAsia" w:eastAsia="FangSong"/>
          <w:kern w:val="0"/>
          <w:sz w:val="24"/>
        </w:rPr>
        <w:t>业务</w:t>
      </w:r>
      <w:r>
        <w:rPr>
          <w:rFonts w:eastAsia="FangSong"/>
          <w:kern w:val="0"/>
          <w:sz w:val="24"/>
        </w:rPr>
        <w:t>系统的数据对接；且各业务系统因系统对接产生的改造费用均包含在本项目内；</w:t>
      </w:r>
    </w:p>
    <w:p w14:paraId="670106DD">
      <w:pPr>
        <w:widowControl/>
        <w:spacing w:line="360" w:lineRule="auto"/>
        <w:rPr>
          <w:rFonts w:eastAsia="FangSong"/>
          <w:kern w:val="0"/>
          <w:sz w:val="24"/>
        </w:rPr>
      </w:pPr>
      <w:r>
        <w:rPr>
          <w:kern w:val="0"/>
          <w:sz w:val="24"/>
        </w:rPr>
        <w:t>③</w:t>
      </w:r>
      <w:r>
        <w:rPr>
          <w:rFonts w:eastAsia="FangSong"/>
          <w:kern w:val="0"/>
          <w:sz w:val="24"/>
        </w:rPr>
        <w:t>能对医院各系统对接数据格式进行转换；</w:t>
      </w:r>
    </w:p>
    <w:p w14:paraId="5E1EDCD5">
      <w:pPr>
        <w:numPr>
          <w:ilvl w:val="0"/>
          <w:numId w:val="4"/>
        </w:numPr>
        <w:spacing w:line="360" w:lineRule="auto"/>
        <w:rPr>
          <w:rFonts w:eastAsia="FangSong"/>
          <w:b/>
          <w:bCs/>
          <w:sz w:val="24"/>
        </w:rPr>
      </w:pPr>
      <w:r>
        <w:rPr>
          <w:rFonts w:eastAsia="FangSong"/>
          <w:b/>
          <w:bCs/>
          <w:sz w:val="24"/>
        </w:rPr>
        <w:t>系统性能要求</w:t>
      </w:r>
    </w:p>
    <w:p w14:paraId="340F4763">
      <w:pPr>
        <w:pStyle w:val="28"/>
        <w:numPr>
          <w:ilvl w:val="0"/>
          <w:numId w:val="5"/>
        </w:numPr>
        <w:spacing w:line="360" w:lineRule="auto"/>
        <w:ind w:firstLineChars="0"/>
        <w:rPr>
          <w:rFonts w:eastAsia="FangSong"/>
          <w:kern w:val="0"/>
          <w:sz w:val="24"/>
        </w:rPr>
      </w:pPr>
      <w:r>
        <w:rPr>
          <w:rFonts w:eastAsia="FangSong"/>
          <w:kern w:val="0"/>
          <w:sz w:val="24"/>
        </w:rPr>
        <w:t>系统在长时间运行下仍能顺畅访问，正常情况下web并发使用用户数量＞</w:t>
      </w:r>
      <w:r>
        <w:rPr>
          <w:rFonts w:hint="eastAsia" w:eastAsia="FangSong"/>
          <w:kern w:val="0"/>
          <w:sz w:val="24"/>
        </w:rPr>
        <w:t>10</w:t>
      </w:r>
      <w:r>
        <w:rPr>
          <w:rFonts w:eastAsia="FangSong"/>
          <w:kern w:val="0"/>
          <w:sz w:val="24"/>
        </w:rPr>
        <w:t>00；</w:t>
      </w:r>
    </w:p>
    <w:p w14:paraId="6BF06138">
      <w:pPr>
        <w:spacing w:line="360" w:lineRule="auto"/>
        <w:rPr>
          <w:rFonts w:eastAsia="FangSong"/>
          <w:sz w:val="24"/>
        </w:rPr>
      </w:pPr>
      <w:r>
        <w:rPr>
          <w:kern w:val="0"/>
          <w:sz w:val="24"/>
        </w:rPr>
        <w:t>②</w:t>
      </w:r>
      <w:r>
        <w:rPr>
          <w:rFonts w:eastAsia="FangSong"/>
          <w:kern w:val="0"/>
          <w:sz w:val="24"/>
        </w:rPr>
        <w:t>后台操作响应时间应为：一般操作响应＜10毫秒，复杂操作响应＜200毫秒。</w:t>
      </w:r>
    </w:p>
    <w:p w14:paraId="2B6B26B3">
      <w:pPr>
        <w:numPr>
          <w:ilvl w:val="0"/>
          <w:numId w:val="4"/>
        </w:numPr>
        <w:spacing w:line="360" w:lineRule="auto"/>
        <w:rPr>
          <w:rFonts w:eastAsia="FangSong"/>
          <w:b/>
          <w:bCs/>
          <w:sz w:val="24"/>
        </w:rPr>
      </w:pPr>
      <w:r>
        <w:rPr>
          <w:rFonts w:eastAsia="FangSong"/>
          <w:b/>
          <w:bCs/>
          <w:sz w:val="24"/>
        </w:rPr>
        <w:t>系统安全要求和拓展性</w:t>
      </w:r>
    </w:p>
    <w:p w14:paraId="7880DC65">
      <w:pPr>
        <w:widowControl/>
        <w:spacing w:line="360" w:lineRule="auto"/>
        <w:rPr>
          <w:rFonts w:eastAsia="FangSong"/>
          <w:kern w:val="0"/>
          <w:sz w:val="24"/>
        </w:rPr>
      </w:pPr>
      <w:r>
        <w:rPr>
          <w:kern w:val="0"/>
          <w:sz w:val="24"/>
        </w:rPr>
        <w:t>①</w:t>
      </w:r>
      <w:r>
        <w:rPr>
          <w:rFonts w:eastAsia="FangSong"/>
          <w:kern w:val="0"/>
          <w:sz w:val="24"/>
        </w:rPr>
        <w:t>保证数据的安全性、数据的完整性、并发控制以及数据库恢复等。</w:t>
      </w:r>
    </w:p>
    <w:p w14:paraId="6A45835A">
      <w:pPr>
        <w:widowControl/>
        <w:spacing w:line="360" w:lineRule="auto"/>
        <w:rPr>
          <w:sz w:val="24"/>
        </w:rPr>
      </w:pPr>
      <w:r>
        <w:rPr>
          <w:kern w:val="0"/>
          <w:sz w:val="24"/>
        </w:rPr>
        <w:t>②</w:t>
      </w:r>
      <w:r>
        <w:rPr>
          <w:rFonts w:eastAsia="FangSong"/>
          <w:kern w:val="0"/>
          <w:sz w:val="24"/>
        </w:rPr>
        <w:t>支持多数据源数据整理及运用，包括文件数据来源，用户数据来源及系统数据来源整理和运用。</w:t>
      </w:r>
    </w:p>
    <w:p w14:paraId="6A359F21">
      <w:pPr>
        <w:widowControl/>
        <w:spacing w:line="360" w:lineRule="auto"/>
        <w:rPr>
          <w:rFonts w:eastAsia="FangSong"/>
          <w:kern w:val="0"/>
          <w:sz w:val="24"/>
        </w:rPr>
      </w:pPr>
      <w:r>
        <w:rPr>
          <w:kern w:val="0"/>
          <w:sz w:val="24"/>
        </w:rPr>
        <w:t>③</w:t>
      </w:r>
      <w:r>
        <w:rPr>
          <w:rFonts w:eastAsia="FangSong"/>
          <w:kern w:val="0"/>
          <w:sz w:val="24"/>
        </w:rPr>
        <w:t>系统应保持良好的扩展性，有利于逐步升级。</w:t>
      </w:r>
    </w:p>
    <w:p w14:paraId="314CFC0B">
      <w:pPr>
        <w:widowControl/>
        <w:spacing w:line="360" w:lineRule="auto"/>
        <w:rPr>
          <w:rFonts w:eastAsia="楷体"/>
          <w:b/>
          <w:sz w:val="24"/>
        </w:rPr>
      </w:pPr>
      <w:r>
        <w:rPr>
          <w:kern w:val="0"/>
          <w:sz w:val="24"/>
        </w:rPr>
        <w:t>④</w:t>
      </w:r>
      <w:r>
        <w:rPr>
          <w:rFonts w:eastAsia="FangSong"/>
          <w:kern w:val="0"/>
          <w:sz w:val="24"/>
        </w:rPr>
        <w:t>系统安全等级必须符合国家信息安全等级保护三级认证。</w:t>
      </w:r>
    </w:p>
    <w:p w14:paraId="3685FFAE">
      <w:pPr>
        <w:pStyle w:val="2"/>
        <w:rPr>
          <w:rFonts w:eastAsia="黑体"/>
          <w:sz w:val="28"/>
          <w:szCs w:val="28"/>
        </w:rPr>
      </w:pPr>
      <w:r>
        <w:rPr>
          <w:rFonts w:eastAsia="黑体"/>
          <w:sz w:val="28"/>
          <w:szCs w:val="28"/>
        </w:rPr>
        <w:t>五、商务和服务需求</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01"/>
        <w:gridCol w:w="5937"/>
      </w:tblGrid>
      <w:tr w14:paraId="34135316">
        <w:trPr>
          <w:trHeight w:val="520" w:hRule="atLeast"/>
          <w:jc w:val="center"/>
        </w:trPr>
        <w:tc>
          <w:tcPr>
            <w:tcW w:w="750" w:type="dxa"/>
            <w:vAlign w:val="center"/>
          </w:tcPr>
          <w:p w14:paraId="30899B1B">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序号</w:t>
            </w:r>
          </w:p>
        </w:tc>
        <w:tc>
          <w:tcPr>
            <w:tcW w:w="1701" w:type="dxa"/>
            <w:vAlign w:val="center"/>
          </w:tcPr>
          <w:p w14:paraId="68D6D96D">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商务和服务项目</w:t>
            </w:r>
          </w:p>
        </w:tc>
        <w:tc>
          <w:tcPr>
            <w:tcW w:w="5937" w:type="dxa"/>
            <w:vAlign w:val="center"/>
          </w:tcPr>
          <w:p w14:paraId="777E1B43">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商务和服务要求</w:t>
            </w:r>
          </w:p>
        </w:tc>
      </w:tr>
      <w:tr w14:paraId="2718DEE7">
        <w:trPr>
          <w:trHeight w:val="501" w:hRule="atLeast"/>
          <w:jc w:val="center"/>
        </w:trPr>
        <w:tc>
          <w:tcPr>
            <w:tcW w:w="750" w:type="dxa"/>
            <w:vAlign w:val="center"/>
          </w:tcPr>
          <w:p w14:paraId="04F8403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1</w:t>
            </w:r>
          </w:p>
        </w:tc>
        <w:tc>
          <w:tcPr>
            <w:tcW w:w="1701" w:type="dxa"/>
            <w:vAlign w:val="center"/>
          </w:tcPr>
          <w:p w14:paraId="033AB1D0">
            <w:pPr>
              <w:autoSpaceDE w:val="0"/>
              <w:autoSpaceDN w:val="0"/>
              <w:adjustRightInd w:val="0"/>
              <w:snapToGrid w:val="0"/>
              <w:spacing w:line="360" w:lineRule="auto"/>
              <w:jc w:val="center"/>
              <w:rPr>
                <w:rFonts w:eastAsia="FangSong"/>
                <w:snapToGrid w:val="0"/>
                <w:kern w:val="0"/>
                <w:szCs w:val="21"/>
              </w:rPr>
            </w:pPr>
            <w:r>
              <w:rPr>
                <w:rFonts w:hint="eastAsia" w:eastAsia="FangSong"/>
                <w:snapToGrid w:val="0"/>
                <w:kern w:val="0"/>
                <w:szCs w:val="21"/>
              </w:rPr>
              <w:t>项目工期</w:t>
            </w:r>
          </w:p>
        </w:tc>
        <w:tc>
          <w:tcPr>
            <w:tcW w:w="5937" w:type="dxa"/>
            <w:vAlign w:val="center"/>
          </w:tcPr>
          <w:p w14:paraId="1769E95D">
            <w:pPr>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本项目实施工期为24个月。中标方应完成系统部署、功能配置、数据对接、测试联调、试运行、培训、上线及验收支持工作。</w:t>
            </w:r>
          </w:p>
        </w:tc>
      </w:tr>
      <w:tr w14:paraId="23AEE90C">
        <w:trPr>
          <w:trHeight w:val="488" w:hRule="atLeast"/>
          <w:jc w:val="center"/>
        </w:trPr>
        <w:tc>
          <w:tcPr>
            <w:tcW w:w="750" w:type="dxa"/>
            <w:vAlign w:val="center"/>
          </w:tcPr>
          <w:p w14:paraId="08ED7FC6">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2</w:t>
            </w:r>
          </w:p>
        </w:tc>
        <w:tc>
          <w:tcPr>
            <w:tcW w:w="1701" w:type="dxa"/>
            <w:vAlign w:val="center"/>
          </w:tcPr>
          <w:p w14:paraId="157865D9">
            <w:pPr>
              <w:autoSpaceDE w:val="0"/>
              <w:autoSpaceDN w:val="0"/>
              <w:adjustRightInd w:val="0"/>
              <w:snapToGrid w:val="0"/>
              <w:jc w:val="center"/>
              <w:rPr>
                <w:rFonts w:eastAsia="FangSong"/>
                <w:snapToGrid w:val="0"/>
                <w:kern w:val="0"/>
                <w:szCs w:val="21"/>
              </w:rPr>
            </w:pPr>
            <w:r>
              <w:rPr>
                <w:rFonts w:hint="eastAsia" w:eastAsia="FangSong"/>
                <w:snapToGrid w:val="0"/>
                <w:kern w:val="0"/>
                <w:szCs w:val="21"/>
              </w:rPr>
              <w:t>免费</w:t>
            </w:r>
            <w:r>
              <w:rPr>
                <w:rFonts w:hint="eastAsia" w:eastAsia="FangSong"/>
                <w:snapToGrid w:val="0"/>
                <w:kern w:val="0"/>
                <w:szCs w:val="21"/>
                <w:lang w:val="zh-CN"/>
              </w:rPr>
              <w:t>质保</w:t>
            </w:r>
            <w:r>
              <w:rPr>
                <w:rFonts w:hint="eastAsia" w:eastAsia="FangSong"/>
                <w:snapToGrid w:val="0"/>
                <w:kern w:val="0"/>
                <w:szCs w:val="21"/>
              </w:rPr>
              <w:t>期</w:t>
            </w:r>
          </w:p>
        </w:tc>
        <w:tc>
          <w:tcPr>
            <w:tcW w:w="5937" w:type="dxa"/>
            <w:vAlign w:val="center"/>
          </w:tcPr>
          <w:p w14:paraId="4836D1DC">
            <w:pPr>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项目验收合格后算起，至少提供一年的免费质保。</w:t>
            </w:r>
          </w:p>
        </w:tc>
      </w:tr>
      <w:tr w14:paraId="3FAEC0D2">
        <w:trPr>
          <w:jc w:val="center"/>
        </w:trPr>
        <w:tc>
          <w:tcPr>
            <w:tcW w:w="750" w:type="dxa"/>
            <w:vAlign w:val="center"/>
          </w:tcPr>
          <w:p w14:paraId="45A2863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3</w:t>
            </w:r>
          </w:p>
        </w:tc>
        <w:tc>
          <w:tcPr>
            <w:tcW w:w="1701" w:type="dxa"/>
            <w:vAlign w:val="center"/>
          </w:tcPr>
          <w:p w14:paraId="61CC5F90">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售后服务</w:t>
            </w:r>
            <w:r>
              <w:rPr>
                <w:rFonts w:hint="eastAsia" w:eastAsia="FangSong"/>
                <w:snapToGrid w:val="0"/>
                <w:kern w:val="0"/>
                <w:szCs w:val="21"/>
              </w:rPr>
              <w:t>要求</w:t>
            </w:r>
          </w:p>
        </w:tc>
        <w:tc>
          <w:tcPr>
            <w:tcW w:w="5937" w:type="dxa"/>
            <w:vAlign w:val="center"/>
          </w:tcPr>
          <w:p w14:paraId="316C5000">
            <w:pPr>
              <w:numPr>
                <w:ilvl w:val="0"/>
                <w:numId w:val="6"/>
              </w:numPr>
              <w:spacing w:line="360" w:lineRule="auto"/>
              <w:rPr>
                <w:rFonts w:eastAsia="FangSong"/>
                <w:b/>
                <w:bCs/>
                <w:szCs w:val="21"/>
              </w:rPr>
            </w:pPr>
            <w:r>
              <w:rPr>
                <w:rFonts w:hint="eastAsia" w:eastAsia="FangSong"/>
                <w:b/>
                <w:bCs/>
                <w:szCs w:val="21"/>
              </w:rPr>
              <w:t>售后服务期限</w:t>
            </w:r>
          </w:p>
          <w:p w14:paraId="37B122DE">
            <w:pPr>
              <w:pStyle w:val="7"/>
              <w:spacing w:line="360" w:lineRule="auto"/>
              <w:ind w:firstLine="420" w:firstLineChars="200"/>
              <w:jc w:val="both"/>
              <w:rPr>
                <w:rFonts w:eastAsia="FangSong"/>
                <w:snapToGrid w:val="0"/>
                <w:kern w:val="0"/>
                <w:sz w:val="21"/>
                <w:szCs w:val="21"/>
              </w:rPr>
            </w:pPr>
            <w:r>
              <w:rPr>
                <w:rFonts w:hint="eastAsia" w:eastAsia="FangSong"/>
                <w:snapToGrid w:val="0"/>
                <w:kern w:val="0"/>
                <w:sz w:val="21"/>
                <w:szCs w:val="21"/>
              </w:rPr>
              <w:t>本项目免费质保期至少为1年，自项目上线后，必须确保</w:t>
            </w:r>
            <w:r>
              <w:rPr>
                <w:rFonts w:hint="eastAsia" w:eastAsia="FangSong"/>
                <w:snapToGrid w:val="0"/>
                <w:kern w:val="0"/>
                <w:sz w:val="21"/>
                <w:szCs w:val="21"/>
                <w:lang w:val="en-US" w:eastAsia="zh-CN"/>
              </w:rPr>
              <w:t>系统</w:t>
            </w:r>
            <w:r>
              <w:rPr>
                <w:rFonts w:hint="eastAsia" w:eastAsia="FangSong"/>
                <w:snapToGrid w:val="0"/>
                <w:kern w:val="0"/>
                <w:sz w:val="21"/>
                <w:szCs w:val="21"/>
              </w:rPr>
              <w:t>功能稳定运行，完成与各系统的数据对接等。</w:t>
            </w:r>
          </w:p>
          <w:p w14:paraId="433748BF">
            <w:pPr>
              <w:numPr>
                <w:ilvl w:val="0"/>
                <w:numId w:val="6"/>
              </w:numPr>
              <w:spacing w:line="360" w:lineRule="auto"/>
              <w:rPr>
                <w:rFonts w:eastAsia="FangSong"/>
                <w:b/>
                <w:bCs/>
                <w:szCs w:val="21"/>
              </w:rPr>
            </w:pPr>
            <w:r>
              <w:rPr>
                <w:rFonts w:hint="eastAsia" w:eastAsia="FangSong"/>
                <w:b/>
                <w:bCs/>
                <w:szCs w:val="21"/>
              </w:rPr>
              <w:t>售后服务范围</w:t>
            </w:r>
          </w:p>
          <w:p w14:paraId="13A577C1">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①</w:t>
            </w:r>
            <w:r>
              <w:rPr>
                <w:rFonts w:hint="eastAsia" w:eastAsia="FangSong"/>
                <w:snapToGrid w:val="0"/>
                <w:kern w:val="0"/>
                <w:sz w:val="21"/>
                <w:szCs w:val="21"/>
              </w:rPr>
              <w:t>如国家相关政策作出调整时，系统应做出相应调整服务。</w:t>
            </w:r>
          </w:p>
          <w:p w14:paraId="3837B3CD">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②</w:t>
            </w:r>
            <w:r>
              <w:rPr>
                <w:rFonts w:hint="eastAsia" w:eastAsia="FangSong"/>
                <w:snapToGrid w:val="0"/>
                <w:kern w:val="0"/>
                <w:sz w:val="21"/>
                <w:szCs w:val="21"/>
              </w:rPr>
              <w:t>如平台各系统进行升级需免费对我院产品进行升级及相关培训。</w:t>
            </w:r>
          </w:p>
          <w:p w14:paraId="42F475E4">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③</w:t>
            </w:r>
            <w:r>
              <w:rPr>
                <w:rFonts w:hint="eastAsia" w:eastAsia="FangSong"/>
                <w:snapToGrid w:val="0"/>
                <w:kern w:val="0"/>
                <w:sz w:val="21"/>
                <w:szCs w:val="21"/>
              </w:rPr>
              <w:t>每季度对数据库优化调校，确保数据来源正确。</w:t>
            </w:r>
          </w:p>
          <w:p w14:paraId="05E9BC51">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④</w:t>
            </w:r>
            <w:r>
              <w:rPr>
                <w:rFonts w:hint="eastAsia" w:eastAsia="FangSong"/>
                <w:snapToGrid w:val="0"/>
                <w:kern w:val="0"/>
                <w:sz w:val="21"/>
                <w:szCs w:val="21"/>
              </w:rPr>
              <w:t>每季度对系统进行例行更新和效能调整，确保系统运行速度。</w:t>
            </w:r>
          </w:p>
          <w:p w14:paraId="246B6430">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⑤</w:t>
            </w:r>
            <w:r>
              <w:rPr>
                <w:rFonts w:hint="eastAsia" w:eastAsia="FangSong"/>
                <w:snapToGrid w:val="0"/>
                <w:kern w:val="0"/>
                <w:sz w:val="21"/>
                <w:szCs w:val="21"/>
              </w:rPr>
              <w:t>系统操作如有疑问，提供电话技术支持及远端遥控支持。</w:t>
            </w:r>
          </w:p>
          <w:p w14:paraId="0425E679">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⑥</w:t>
            </w:r>
            <w:r>
              <w:rPr>
                <w:rFonts w:hint="eastAsia" w:eastAsia="FangSong"/>
                <w:snapToGrid w:val="0"/>
                <w:kern w:val="0"/>
                <w:sz w:val="21"/>
                <w:szCs w:val="21"/>
              </w:rPr>
              <w:t>系统如发生问题，首先采用电话技术支持或远端遥控支持。提供7x24小时电话支持和微信支持服务。项目建设及售后服务期间，若因中标方的责任出现系统故障，中标公司应在接到报修或维护的通知后立即处理，并承诺在2小时内响应，4小时内恢复，如不能远程处理的缺陷或障碍，软件工程师应在48小时内到达现场并进行修复。逾期，双方协商后可委托第三方进行修复，由此产生的相关费用由中标方全部承担。</w:t>
            </w:r>
          </w:p>
        </w:tc>
      </w:tr>
      <w:tr w14:paraId="3389E2AE">
        <w:trPr>
          <w:jc w:val="center"/>
        </w:trPr>
        <w:tc>
          <w:tcPr>
            <w:tcW w:w="750" w:type="dxa"/>
            <w:vAlign w:val="center"/>
          </w:tcPr>
          <w:p w14:paraId="500876DE">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4</w:t>
            </w:r>
          </w:p>
        </w:tc>
        <w:tc>
          <w:tcPr>
            <w:tcW w:w="1701" w:type="dxa"/>
            <w:vAlign w:val="center"/>
          </w:tcPr>
          <w:p w14:paraId="711AA4C7">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服务标准</w:t>
            </w:r>
          </w:p>
        </w:tc>
        <w:tc>
          <w:tcPr>
            <w:tcW w:w="5937" w:type="dxa"/>
            <w:vAlign w:val="center"/>
          </w:tcPr>
          <w:p w14:paraId="309612DB">
            <w:pPr>
              <w:widowControl/>
              <w:autoSpaceDE w:val="0"/>
              <w:autoSpaceDN w:val="0"/>
              <w:adjustRightInd w:val="0"/>
              <w:snapToGrid w:val="0"/>
              <w:spacing w:before="156" w:beforeLines="50" w:line="360" w:lineRule="auto"/>
              <w:rPr>
                <w:rFonts w:eastAsia="FangSong"/>
                <w:szCs w:val="21"/>
              </w:rPr>
            </w:pPr>
            <w:r>
              <w:rPr>
                <w:rFonts w:hint="eastAsia" w:eastAsia="FangSong"/>
                <w:szCs w:val="21"/>
              </w:rPr>
              <w:t>本项目至少配置</w:t>
            </w:r>
            <w:r>
              <w:rPr>
                <w:rFonts w:hint="eastAsia" w:eastAsia="FangSong"/>
                <w:szCs w:val="21"/>
                <w:lang w:val="en-US" w:eastAsia="zh-CN"/>
              </w:rPr>
              <w:t>10</w:t>
            </w:r>
            <w:r>
              <w:rPr>
                <w:rFonts w:hint="eastAsia" w:eastAsia="FangSong"/>
                <w:szCs w:val="21"/>
              </w:rPr>
              <w:t>位人员，包括2位业务咨询、</w:t>
            </w:r>
            <w:r>
              <w:rPr>
                <w:rFonts w:hint="eastAsia" w:eastAsia="FangSong"/>
                <w:szCs w:val="21"/>
                <w:lang w:val="en-US" w:eastAsia="zh-CN"/>
              </w:rPr>
              <w:t>3</w:t>
            </w:r>
            <w:r>
              <w:rPr>
                <w:rFonts w:hint="eastAsia" w:eastAsia="FangSong"/>
                <w:szCs w:val="21"/>
              </w:rPr>
              <w:t>位开发人员、</w:t>
            </w:r>
            <w:r>
              <w:rPr>
                <w:rFonts w:hint="eastAsia" w:eastAsia="FangSong"/>
                <w:szCs w:val="21"/>
                <w:lang w:val="en-US" w:eastAsia="zh-CN"/>
              </w:rPr>
              <w:t>3</w:t>
            </w:r>
            <w:r>
              <w:rPr>
                <w:rFonts w:hint="eastAsia" w:eastAsia="FangSong"/>
                <w:szCs w:val="21"/>
              </w:rPr>
              <w:t>位现场实施、2位售后服务。</w:t>
            </w:r>
          </w:p>
        </w:tc>
      </w:tr>
      <w:tr w14:paraId="67ADF9AC">
        <w:trPr>
          <w:jc w:val="center"/>
        </w:trPr>
        <w:tc>
          <w:tcPr>
            <w:tcW w:w="750" w:type="dxa"/>
            <w:vAlign w:val="center"/>
          </w:tcPr>
          <w:p w14:paraId="4A9FB034">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5</w:t>
            </w:r>
          </w:p>
        </w:tc>
        <w:tc>
          <w:tcPr>
            <w:tcW w:w="1701" w:type="dxa"/>
            <w:vAlign w:val="center"/>
          </w:tcPr>
          <w:p w14:paraId="37552079">
            <w:pPr>
              <w:widowControl/>
              <w:autoSpaceDE w:val="0"/>
              <w:autoSpaceDN w:val="0"/>
              <w:adjustRightInd w:val="0"/>
              <w:snapToGrid w:val="0"/>
              <w:jc w:val="center"/>
              <w:rPr>
                <w:rFonts w:eastAsia="FangSong"/>
                <w:snapToGrid w:val="0"/>
                <w:kern w:val="0"/>
                <w:szCs w:val="21"/>
                <w:lang w:val="zh-CN"/>
              </w:rPr>
            </w:pPr>
            <w:r>
              <w:rPr>
                <w:rFonts w:hint="eastAsia" w:eastAsia="FangSong"/>
                <w:snapToGrid w:val="0"/>
                <w:kern w:val="0"/>
                <w:szCs w:val="21"/>
                <w:lang w:val="zh-CN"/>
              </w:rPr>
              <w:t>培训</w:t>
            </w:r>
          </w:p>
        </w:tc>
        <w:tc>
          <w:tcPr>
            <w:tcW w:w="5937" w:type="dxa"/>
            <w:vAlign w:val="center"/>
          </w:tcPr>
          <w:p w14:paraId="2BF1DCF6">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中标方需负责我院临床科室和医务处在使用系统各个功能模块的培训及答疑，培训可通过线上/线下/操作手册/操作视频等形式开展；同时需负责我院临床科室和医务处办公室负责人员在使用系统各个功能模块的培训及答疑，培训可通过线上/线下/操作手册/操作视频等形式开展。如系统进行更新或升级，中标方需负责针对更新内容进行相应的培训。</w:t>
            </w:r>
          </w:p>
        </w:tc>
      </w:tr>
      <w:tr w14:paraId="0F626D32">
        <w:trPr>
          <w:jc w:val="center"/>
        </w:trPr>
        <w:tc>
          <w:tcPr>
            <w:tcW w:w="750" w:type="dxa"/>
            <w:vAlign w:val="center"/>
          </w:tcPr>
          <w:p w14:paraId="3E8A897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6</w:t>
            </w:r>
          </w:p>
        </w:tc>
        <w:tc>
          <w:tcPr>
            <w:tcW w:w="1701" w:type="dxa"/>
            <w:vAlign w:val="center"/>
          </w:tcPr>
          <w:p w14:paraId="7E465383">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验收标准</w:t>
            </w:r>
          </w:p>
        </w:tc>
        <w:tc>
          <w:tcPr>
            <w:tcW w:w="5937" w:type="dxa"/>
            <w:vAlign w:val="center"/>
          </w:tcPr>
          <w:p w14:paraId="22FC5D99">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自项目上线后，必须确</w:t>
            </w:r>
            <w:r>
              <w:rPr>
                <w:rFonts w:hint="eastAsia" w:eastAsia="FangSong"/>
                <w:snapToGrid w:val="0"/>
                <w:kern w:val="0"/>
                <w:szCs w:val="21"/>
                <w:lang w:val="en-US" w:eastAsia="zh-CN"/>
              </w:rPr>
              <w:t>系统</w:t>
            </w:r>
            <w:r>
              <w:rPr>
                <w:rFonts w:hint="eastAsia" w:eastAsia="FangSong"/>
                <w:snapToGrid w:val="0"/>
                <w:kern w:val="0"/>
                <w:szCs w:val="21"/>
              </w:rPr>
              <w:t>功能稳定运行，并完成与医院数据平台、</w:t>
            </w:r>
            <w:r>
              <w:rPr>
                <w:rFonts w:hint="eastAsia" w:eastAsia="FangSong"/>
                <w:snapToGrid w:val="0"/>
                <w:kern w:val="0"/>
                <w:szCs w:val="21"/>
                <w:lang w:eastAsia="zh-CN"/>
              </w:rPr>
              <w:t>HIS、EMR、LIS、</w:t>
            </w:r>
            <w:r>
              <w:rPr>
                <w:rFonts w:hint="eastAsia" w:eastAsia="FangSong"/>
                <w:snapToGrid w:val="0"/>
                <w:kern w:val="0"/>
                <w:szCs w:val="21"/>
              </w:rPr>
              <w:t>互联网医院医等业务系统的数据对接，即视为验收合格。</w:t>
            </w:r>
          </w:p>
        </w:tc>
      </w:tr>
      <w:tr w14:paraId="184709B8">
        <w:trPr>
          <w:jc w:val="center"/>
        </w:trPr>
        <w:tc>
          <w:tcPr>
            <w:tcW w:w="750" w:type="dxa"/>
            <w:vAlign w:val="center"/>
          </w:tcPr>
          <w:p w14:paraId="3B85409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7</w:t>
            </w:r>
          </w:p>
        </w:tc>
        <w:tc>
          <w:tcPr>
            <w:tcW w:w="1701" w:type="dxa"/>
            <w:vAlign w:val="center"/>
          </w:tcPr>
          <w:p w14:paraId="19827D4C">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付款方式</w:t>
            </w:r>
          </w:p>
        </w:tc>
        <w:tc>
          <w:tcPr>
            <w:tcW w:w="5937" w:type="dxa"/>
            <w:vAlign w:val="center"/>
          </w:tcPr>
          <w:p w14:paraId="25586B85">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（1）项目上线稳定运行后，经过上线科室确认后的3个月内，支付项目合同款的30%。</w:t>
            </w:r>
          </w:p>
          <w:p w14:paraId="0FF599A5">
            <w:pPr>
              <w:widowControl/>
              <w:autoSpaceDE w:val="0"/>
              <w:autoSpaceDN w:val="0"/>
              <w:adjustRightInd w:val="0"/>
              <w:snapToGrid w:val="0"/>
              <w:spacing w:line="360" w:lineRule="auto"/>
              <w:rPr>
                <w:rFonts w:eastAsia="FangSong"/>
                <w:snapToGrid w:val="0"/>
                <w:kern w:val="0"/>
                <w:szCs w:val="21"/>
              </w:rPr>
            </w:pPr>
            <w:r>
              <w:rPr>
                <w:rFonts w:hint="eastAsia" w:eastAsia="FangSong"/>
                <w:snapToGrid w:val="0"/>
                <w:kern w:val="0"/>
                <w:szCs w:val="21"/>
              </w:rPr>
              <w:t>（2）项目验收合格后的3个月内，支付项目合同款的50%。</w:t>
            </w:r>
          </w:p>
          <w:p w14:paraId="7EE9576F">
            <w:pPr>
              <w:widowControl/>
              <w:autoSpaceDE w:val="0"/>
              <w:autoSpaceDN w:val="0"/>
              <w:adjustRightInd w:val="0"/>
              <w:snapToGrid w:val="0"/>
              <w:spacing w:line="360" w:lineRule="auto"/>
            </w:pPr>
            <w:r>
              <w:rPr>
                <w:rFonts w:hint="eastAsia" w:eastAsia="FangSong"/>
                <w:snapToGrid w:val="0"/>
                <w:kern w:val="0"/>
                <w:szCs w:val="21"/>
              </w:rPr>
              <w:t>（3）项目质保期到期后的3个月内，支付项目合同款的20%。</w:t>
            </w:r>
          </w:p>
        </w:tc>
      </w:tr>
    </w:tbl>
    <w:p w14:paraId="5824E2FA">
      <w:pPr>
        <w:pStyle w:val="2"/>
        <w:rPr>
          <w:rFonts w:eastAsia="黑体"/>
          <w:sz w:val="28"/>
          <w:szCs w:val="28"/>
        </w:rPr>
      </w:pPr>
      <w:r>
        <w:rPr>
          <w:rFonts w:eastAsia="黑体"/>
          <w:sz w:val="28"/>
          <w:szCs w:val="28"/>
        </w:rPr>
        <w:t>六、特定资格条件</w:t>
      </w:r>
    </w:p>
    <w:p w14:paraId="40430E27">
      <w:pPr>
        <w:spacing w:line="360" w:lineRule="auto"/>
        <w:ind w:firstLine="495"/>
        <w:jc w:val="left"/>
        <w:rPr>
          <w:rFonts w:eastAsia="FangSong"/>
          <w:sz w:val="24"/>
        </w:rPr>
      </w:pPr>
      <w:r>
        <w:rPr>
          <w:rFonts w:eastAsia="FangSong"/>
          <w:sz w:val="24"/>
        </w:rPr>
        <w:t>除《中华人民共和国政府采购法》第二十二条规定的供应商应具备的条件外，采购人可以根据采购项目的特殊要求，规定供应商的特定资格条件，如国家或行业强制性标准等。但不得以不合理的条件对供应商实行差别待遇或者歧视待遇。</w:t>
      </w:r>
    </w:p>
    <w:p w14:paraId="2306D56A">
      <w:pPr>
        <w:spacing w:line="360" w:lineRule="auto"/>
        <w:ind w:right="600" w:firstLine="4200" w:firstLineChars="1750"/>
        <w:rPr>
          <w:rFonts w:eastAsia="FangSong"/>
          <w:sz w:val="24"/>
        </w:rPr>
      </w:pPr>
    </w:p>
    <w:p w14:paraId="26F1DED3">
      <w:pPr>
        <w:spacing w:line="360" w:lineRule="auto"/>
        <w:ind w:right="600" w:firstLine="4200" w:firstLineChars="1750"/>
        <w:rPr>
          <w:rFonts w:eastAsia="FangSong"/>
          <w:sz w:val="24"/>
        </w:rPr>
      </w:pPr>
      <w:r>
        <w:rPr>
          <w:rFonts w:eastAsia="FangSong"/>
          <w:sz w:val="24"/>
        </w:rPr>
        <w:t>申购单位（公章）：</w:t>
      </w:r>
    </w:p>
    <w:p w14:paraId="24D037B6">
      <w:pPr>
        <w:spacing w:line="360" w:lineRule="auto"/>
        <w:ind w:right="600"/>
        <w:jc w:val="center"/>
        <w:rPr>
          <w:rFonts w:eastAsia="FangSong"/>
          <w:sz w:val="24"/>
        </w:rPr>
      </w:pPr>
      <w:r>
        <w:rPr>
          <w:rFonts w:eastAsia="FangSong"/>
          <w:sz w:val="24"/>
        </w:rPr>
        <w:t xml:space="preserve">                    或项目负责人（签字）：</w:t>
      </w:r>
    </w:p>
    <w:p w14:paraId="6531FE0C">
      <w:pPr>
        <w:spacing w:line="360" w:lineRule="auto"/>
        <w:ind w:firstLine="495"/>
        <w:jc w:val="center"/>
        <w:rPr>
          <w:rFonts w:eastAsia="FangSong"/>
          <w:sz w:val="24"/>
        </w:rPr>
      </w:pPr>
      <w:r>
        <w:rPr>
          <w:rFonts w:eastAsia="FangSong"/>
          <w:sz w:val="24"/>
        </w:rPr>
        <w:t xml:space="preserve">                     </w:t>
      </w:r>
    </w:p>
    <w:p w14:paraId="390A9BAF">
      <w:pPr>
        <w:wordWrap w:val="0"/>
        <w:spacing w:line="360" w:lineRule="auto"/>
        <w:ind w:firstLine="495"/>
        <w:jc w:val="right"/>
        <w:rPr>
          <w:rFonts w:eastAsia="FangSong"/>
          <w:sz w:val="24"/>
        </w:rPr>
      </w:pPr>
      <w:r>
        <w:rPr>
          <w:rFonts w:eastAsia="FangSong"/>
          <w:sz w:val="24"/>
          <w:u w:val="single"/>
        </w:rPr>
        <w:t xml:space="preserve">        </w:t>
      </w:r>
      <w:r>
        <w:rPr>
          <w:rFonts w:eastAsia="FangSong"/>
          <w:sz w:val="24"/>
        </w:rPr>
        <w:t>年</w:t>
      </w:r>
      <w:r>
        <w:rPr>
          <w:rFonts w:eastAsia="FangSong"/>
          <w:sz w:val="24"/>
          <w:u w:val="single"/>
        </w:rPr>
        <w:t xml:space="preserve">    </w:t>
      </w:r>
      <w:r>
        <w:rPr>
          <w:rFonts w:eastAsia="FangSong"/>
          <w:sz w:val="24"/>
        </w:rPr>
        <w:t>月</w:t>
      </w:r>
      <w:r>
        <w:rPr>
          <w:rFonts w:eastAsia="FangSong"/>
          <w:sz w:val="24"/>
          <w:u w:val="single"/>
        </w:rPr>
        <w:t xml:space="preserve">    </w:t>
      </w:r>
      <w:r>
        <w:rPr>
          <w:rFonts w:eastAsia="FangSong"/>
          <w:sz w:val="24"/>
        </w:rPr>
        <w:t>日</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FangSong">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Segoe UI Symbol">
    <w:altName w:val="苹方-简"/>
    <w:panose1 w:val="020B0502040204020203"/>
    <w:charset w:val="00"/>
    <w:family w:val="swiss"/>
    <w:pitch w:val="default"/>
    <w:sig w:usb0="00000000" w:usb1="00000000" w:usb2="00040000" w:usb3="00000000" w:csb0="00000001" w:csb1="00000000"/>
  </w:font>
  <w:font w:name="苹方-简">
    <w:altName w:val="冬青黑体简体中文"/>
    <w:panose1 w:val="020B0400000000000000"/>
    <w:charset w:val="86"/>
    <w:family w:val="auto"/>
    <w:pitch w:val="default"/>
    <w:sig w:usb0="00000000" w:usb1="00000000" w:usb2="00000017" w:usb3="00000000" w:csb0="00040001" w:csb1="00000000"/>
  </w:font>
  <w:font w:name="冬青黑体简体中文">
    <w:panose1 w:val="020B0300000000000000"/>
    <w:charset w:val="86"/>
    <w:family w:val="auto"/>
    <w:pitch w:val="default"/>
    <w:sig w:usb0="A00002BF" w:usb1="1ACF7CFA" w:usb2="00000016" w:usb3="00000000" w:csb0="00060007" w:csb1="00000000"/>
  </w:font>
  <w:font w:name="Times New Roman Regular">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 w:name="苹方-简">
    <w:altName w:val="Times New Roman"/>
    <w:panose1 w:val="020B0600000000000000"/>
    <w:charset w:val="00"/>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08309">
    <w:pPr>
      <w:pStyle w:val="7"/>
    </w:pPr>
    <w:r>
      <mc:AlternateContent>
        <mc:Choice Requires="wps">
          <w:drawing>
            <wp:anchor distT="0" distB="0" distL="114300" distR="114300" simplePos="0" relativeHeight="251659264" behindDoc="0" locked="0" layoutInCell="1" allowOverlap="1">
              <wp:simplePos x="0" y="0"/>
              <wp:positionH relativeFrom="margin">
                <wp:posOffset>2609850</wp:posOffset>
              </wp:positionH>
              <wp:positionV relativeFrom="paragraph">
                <wp:posOffset>3810</wp:posOffset>
              </wp:positionV>
              <wp:extent cx="180975" cy="1905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0975"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CAF60">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pt;margin-top:0.3pt;height:15pt;width:14.25pt;mso-position-horizontal-relative:margin;z-index:251659264;mso-width-relative:page;mso-height-relative:page;" filled="f" stroked="f" coordsize="21600,21600" o:gfxdata="UEsDBAoAAAAAAIdO4kAAAAAAAAAAAAAAAAAEAAAAZHJzL1BLAwQUAAAACACHTuJA6zkD8dYAAAAH&#10;AQAADwAAAGRycy9kb3ducmV2LnhtbE2Py07DMBRE90j8g3WR2FHbtEQQ4nTBY8ezLRLsnPiSRNjX&#10;ke2k5e8xK1iOZjRzplofnGUzhjh4UiAXAhhS681AnYLd9v7sElhMmoy2nlDBN0ZY18dHlS6N39Mr&#10;zpvUsVxCsdQK+pTGkvPY9uh0XPgRKXufPjidsgwdN0Hvc7mz/FyIgjs9UF7o9Yg3PbZfm8kpsO8x&#10;PDQifcy33WN6eebT2518Uur0RIprYAkP6S8Mv/gZHerM1PiJTGRWwUrK/CUpKIBle7W8ugDWKFiK&#10;Anhd8f/89Q9QSwMEFAAAAAgAh07iQDUBPugvAgAAVQQAAA4AAABkcnMvZTJvRG9jLnhtbK1UTW4T&#10;MRTeI3EHy3syk6KUNsqkCo2CkCJaKSDWjseTsWT7GdvJTDgA3IBVN+w5V87Bs2cmRYVFF2ycN36/&#10;3/c+Z3bTakUOwnkJpqDjUU6JMBxKaXYF/fRx9eqKEh+YKZkCIwp6FJ7ezF++mDV2Ki6gBlUKR7CI&#10;8dPGFrQOwU6zzPNaaOZHYIVBZwVOs4CfbpeVjjVYXavsIs8vswZcaR1w4T3eLjsn7Su65xSEqpJc&#10;LIHvtTChq+qEYgEh+VpaT+dp2qoSPNxVlReBqIIi0pBObIL2Np7ZfMamO8dsLXk/AnvOCE8waSYN&#10;Nj2XWrLAyN7Jv0ppyR14qMKIg846IIkRRDHOn3CzqZkVCQtS7e2ZdP//yvIPh3tHZIlKoMQwjQs/&#10;/fh+evh1+vmNjCM9jfVTjNpYjAvtW2hjaH/v8TKibiun4y/iIehHco9nckUbCI9JV/n1mwklHF3j&#10;63ySJ/Kzx2TrfHgnQJNoFNTh7hKl7LD2ARti6BASexlYSaXS/pQhTUEvX0/ylHD2YIYymBghdKNG&#10;K7Tbtp9/C+URYTnodOEtX0lsvmY+3DOHQkAk+FTCHR6VAmwCvUVJDe7rv+5jPO4HvZQ0KKyC+i97&#10;5gQl6r3BzUUVDoYbjO1gmL2+BdQqbgOnSSYmuKAGs3KgP+MLWsQu6GKGY6+ChsG8DZ288QVysVik&#10;INSaZWFtNpbH0h19i32ASiZmIy0dFz1bqLZEeP8yopz//E5Rj/8G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OQPx1gAAAAcBAAAPAAAAAAAAAAEAIAAAACIAAABkcnMvZG93bnJldi54bWxQSwEC&#10;FAAUAAAACACHTuJANQE+6C8CAABVBAAADgAAAAAAAAABACAAAAAlAQAAZHJzL2Uyb0RvYy54bWxQ&#10;SwUGAAAAAAYABgBZAQAAxgUAAAAA&#10;">
              <v:fill on="f" focussize="0,0"/>
              <v:stroke on="f" weight="0.5pt"/>
              <v:imagedata o:title=""/>
              <o:lock v:ext="edit" aspectratio="f"/>
              <v:textbox inset="0mm,0mm,0mm,0mm">
                <w:txbxContent>
                  <w:p w14:paraId="44BCAF60">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D2F28"/>
    <w:multiLevelType w:val="singleLevel"/>
    <w:tmpl w:val="BBED2F28"/>
    <w:lvl w:ilvl="0" w:tentative="0">
      <w:start w:val="4"/>
      <w:numFmt w:val="chineseCounting"/>
      <w:suff w:val="nothing"/>
      <w:lvlText w:val="%1、"/>
      <w:lvlJc w:val="left"/>
      <w:rPr>
        <w:rFonts w:hint="eastAsia"/>
      </w:rPr>
    </w:lvl>
  </w:abstractNum>
  <w:abstractNum w:abstractNumId="1">
    <w:nsid w:val="4D5E4DEA"/>
    <w:multiLevelType w:val="multilevel"/>
    <w:tmpl w:val="4D5E4DEA"/>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0DA7956"/>
    <w:multiLevelType w:val="singleLevel"/>
    <w:tmpl w:val="50DA7956"/>
    <w:lvl w:ilvl="0" w:tentative="0">
      <w:start w:val="1"/>
      <w:numFmt w:val="chineseCounting"/>
      <w:suff w:val="nothing"/>
      <w:lvlText w:val="%1、"/>
      <w:lvlJc w:val="left"/>
      <w:rPr>
        <w:rFonts w:hint="eastAsia"/>
      </w:rPr>
    </w:lvl>
  </w:abstractNum>
  <w:abstractNum w:abstractNumId="3">
    <w:nsid w:val="5D165344"/>
    <w:multiLevelType w:val="singleLevel"/>
    <w:tmpl w:val="5D165344"/>
    <w:lvl w:ilvl="0" w:tentative="0">
      <w:start w:val="1"/>
      <w:numFmt w:val="decimal"/>
      <w:lvlText w:val="%1)"/>
      <w:lvlJc w:val="left"/>
      <w:pPr>
        <w:ind w:left="440" w:hanging="440"/>
      </w:pPr>
      <w:rPr>
        <w:rFonts w:hint="default"/>
      </w:rPr>
    </w:lvl>
  </w:abstractNum>
  <w:abstractNum w:abstractNumId="4">
    <w:nsid w:val="6343F054"/>
    <w:multiLevelType w:val="multilevel"/>
    <w:tmpl w:val="6343F054"/>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21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5">
    <w:nsid w:val="73D1F585"/>
    <w:multiLevelType w:val="singleLevel"/>
    <w:tmpl w:val="73D1F585"/>
    <w:lvl w:ilvl="0" w:tentative="0">
      <w:start w:val="1"/>
      <w:numFmt w:val="decimal"/>
      <w:lvlText w:val="%1)"/>
      <w:lvlJc w:val="left"/>
      <w:pPr>
        <w:ind w:left="440" w:hanging="440"/>
      </w:pPr>
      <w:rPr>
        <w:rFont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MGUxZWE0NzBmMjU3OTAxNTAzMDY4YjI4NzE5MzkifQ=="/>
  </w:docVars>
  <w:rsids>
    <w:rsidRoot w:val="6DB950BC"/>
    <w:rsid w:val="000038D6"/>
    <w:rsid w:val="00015E21"/>
    <w:rsid w:val="00025685"/>
    <w:rsid w:val="000576C6"/>
    <w:rsid w:val="000E225F"/>
    <w:rsid w:val="0010030A"/>
    <w:rsid w:val="0012008F"/>
    <w:rsid w:val="001212F6"/>
    <w:rsid w:val="0013217E"/>
    <w:rsid w:val="001426D3"/>
    <w:rsid w:val="00163A6F"/>
    <w:rsid w:val="00181BAF"/>
    <w:rsid w:val="001B7FED"/>
    <w:rsid w:val="001C16C8"/>
    <w:rsid w:val="001D1661"/>
    <w:rsid w:val="001D4C14"/>
    <w:rsid w:val="001E3503"/>
    <w:rsid w:val="00212489"/>
    <w:rsid w:val="00253A83"/>
    <w:rsid w:val="00281DC3"/>
    <w:rsid w:val="002A620F"/>
    <w:rsid w:val="002F52BC"/>
    <w:rsid w:val="003120B6"/>
    <w:rsid w:val="003318A7"/>
    <w:rsid w:val="003349EF"/>
    <w:rsid w:val="00342F98"/>
    <w:rsid w:val="00347467"/>
    <w:rsid w:val="00351D65"/>
    <w:rsid w:val="003A2E14"/>
    <w:rsid w:val="004034C4"/>
    <w:rsid w:val="00425951"/>
    <w:rsid w:val="00477D5C"/>
    <w:rsid w:val="004A3AE6"/>
    <w:rsid w:val="004B2110"/>
    <w:rsid w:val="004F0EA7"/>
    <w:rsid w:val="00501563"/>
    <w:rsid w:val="00504F81"/>
    <w:rsid w:val="005118D3"/>
    <w:rsid w:val="005204AF"/>
    <w:rsid w:val="00545C32"/>
    <w:rsid w:val="0056658F"/>
    <w:rsid w:val="00566BF0"/>
    <w:rsid w:val="005806C7"/>
    <w:rsid w:val="0058391F"/>
    <w:rsid w:val="00594B38"/>
    <w:rsid w:val="00596D24"/>
    <w:rsid w:val="005E7071"/>
    <w:rsid w:val="005F1EAA"/>
    <w:rsid w:val="005F6539"/>
    <w:rsid w:val="00624D95"/>
    <w:rsid w:val="006460AD"/>
    <w:rsid w:val="00676858"/>
    <w:rsid w:val="00693674"/>
    <w:rsid w:val="00705F5A"/>
    <w:rsid w:val="00716168"/>
    <w:rsid w:val="007457A7"/>
    <w:rsid w:val="007759C1"/>
    <w:rsid w:val="007770A4"/>
    <w:rsid w:val="00782DC5"/>
    <w:rsid w:val="007D359A"/>
    <w:rsid w:val="007F566F"/>
    <w:rsid w:val="00830831"/>
    <w:rsid w:val="008516E8"/>
    <w:rsid w:val="0086297D"/>
    <w:rsid w:val="00885E7D"/>
    <w:rsid w:val="008C4FAA"/>
    <w:rsid w:val="008D2311"/>
    <w:rsid w:val="008E27B7"/>
    <w:rsid w:val="00913038"/>
    <w:rsid w:val="00957543"/>
    <w:rsid w:val="00957C29"/>
    <w:rsid w:val="009A3D3C"/>
    <w:rsid w:val="009D6488"/>
    <w:rsid w:val="009F244C"/>
    <w:rsid w:val="00A05608"/>
    <w:rsid w:val="00A41F9B"/>
    <w:rsid w:val="00A54E40"/>
    <w:rsid w:val="00A73272"/>
    <w:rsid w:val="00A75E5C"/>
    <w:rsid w:val="00AA2946"/>
    <w:rsid w:val="00B31C63"/>
    <w:rsid w:val="00B34CB1"/>
    <w:rsid w:val="00B54D77"/>
    <w:rsid w:val="00B5725F"/>
    <w:rsid w:val="00B60970"/>
    <w:rsid w:val="00B6423B"/>
    <w:rsid w:val="00BA303E"/>
    <w:rsid w:val="00BD4AFC"/>
    <w:rsid w:val="00C0211F"/>
    <w:rsid w:val="00C36389"/>
    <w:rsid w:val="00C44F20"/>
    <w:rsid w:val="00C72996"/>
    <w:rsid w:val="00C90A6A"/>
    <w:rsid w:val="00C95A5C"/>
    <w:rsid w:val="00CB489F"/>
    <w:rsid w:val="00D2237E"/>
    <w:rsid w:val="00D250EA"/>
    <w:rsid w:val="00D26ABE"/>
    <w:rsid w:val="00D448CA"/>
    <w:rsid w:val="00D81A87"/>
    <w:rsid w:val="00DB591A"/>
    <w:rsid w:val="00DB6B02"/>
    <w:rsid w:val="00E20775"/>
    <w:rsid w:val="00E2271F"/>
    <w:rsid w:val="00E411A6"/>
    <w:rsid w:val="00E419F1"/>
    <w:rsid w:val="00E46D58"/>
    <w:rsid w:val="00EA0E71"/>
    <w:rsid w:val="00EA1108"/>
    <w:rsid w:val="00EA1D1F"/>
    <w:rsid w:val="00EB2A24"/>
    <w:rsid w:val="00EF6199"/>
    <w:rsid w:val="00F34629"/>
    <w:rsid w:val="00F540AA"/>
    <w:rsid w:val="00F675E6"/>
    <w:rsid w:val="00F93D3A"/>
    <w:rsid w:val="00FA3F2D"/>
    <w:rsid w:val="00FD2A8D"/>
    <w:rsid w:val="00FF1362"/>
    <w:rsid w:val="03BE7A19"/>
    <w:rsid w:val="046E0498"/>
    <w:rsid w:val="04FD19B7"/>
    <w:rsid w:val="05A065B7"/>
    <w:rsid w:val="05D42FA0"/>
    <w:rsid w:val="06096508"/>
    <w:rsid w:val="07C76DEA"/>
    <w:rsid w:val="0959058F"/>
    <w:rsid w:val="0A7D1BC1"/>
    <w:rsid w:val="0D8133B0"/>
    <w:rsid w:val="0D9E004B"/>
    <w:rsid w:val="0E183BD7"/>
    <w:rsid w:val="12F85200"/>
    <w:rsid w:val="1332329B"/>
    <w:rsid w:val="1438458B"/>
    <w:rsid w:val="15F7778A"/>
    <w:rsid w:val="169F010D"/>
    <w:rsid w:val="170F1A33"/>
    <w:rsid w:val="17FE4168"/>
    <w:rsid w:val="1879A234"/>
    <w:rsid w:val="1C953FDB"/>
    <w:rsid w:val="1D6B4611"/>
    <w:rsid w:val="1E9A0049"/>
    <w:rsid w:val="1F7476EE"/>
    <w:rsid w:val="1FFBE47E"/>
    <w:rsid w:val="205046E6"/>
    <w:rsid w:val="21271AF5"/>
    <w:rsid w:val="2197751D"/>
    <w:rsid w:val="227FE8BE"/>
    <w:rsid w:val="236B0C61"/>
    <w:rsid w:val="24C85C3F"/>
    <w:rsid w:val="24D33D4B"/>
    <w:rsid w:val="25610849"/>
    <w:rsid w:val="25936576"/>
    <w:rsid w:val="27E2225E"/>
    <w:rsid w:val="27FD02F5"/>
    <w:rsid w:val="28A24EE4"/>
    <w:rsid w:val="28AD179D"/>
    <w:rsid w:val="28C376C2"/>
    <w:rsid w:val="29E76BEA"/>
    <w:rsid w:val="2B4D3342"/>
    <w:rsid w:val="2B793D2B"/>
    <w:rsid w:val="2CD62BA8"/>
    <w:rsid w:val="2D035F88"/>
    <w:rsid w:val="2E0B0E2F"/>
    <w:rsid w:val="2F794967"/>
    <w:rsid w:val="2FF7B116"/>
    <w:rsid w:val="32AE7C54"/>
    <w:rsid w:val="331035D3"/>
    <w:rsid w:val="33C17B7B"/>
    <w:rsid w:val="3622034E"/>
    <w:rsid w:val="364F50F5"/>
    <w:rsid w:val="36F062EE"/>
    <w:rsid w:val="37D42945"/>
    <w:rsid w:val="37FFC9A3"/>
    <w:rsid w:val="380729ED"/>
    <w:rsid w:val="38F23C2C"/>
    <w:rsid w:val="3A3E0AF5"/>
    <w:rsid w:val="3A821252"/>
    <w:rsid w:val="3A9692ED"/>
    <w:rsid w:val="3AC76210"/>
    <w:rsid w:val="3B5EF882"/>
    <w:rsid w:val="3BEFA8A2"/>
    <w:rsid w:val="3BFF8169"/>
    <w:rsid w:val="3C794E59"/>
    <w:rsid w:val="3CBDF954"/>
    <w:rsid w:val="3D1617E6"/>
    <w:rsid w:val="3D3E172B"/>
    <w:rsid w:val="3D97CD38"/>
    <w:rsid w:val="3DEB12A5"/>
    <w:rsid w:val="3E5D010E"/>
    <w:rsid w:val="3EA9DD42"/>
    <w:rsid w:val="3FDB666B"/>
    <w:rsid w:val="3FFE2470"/>
    <w:rsid w:val="40490E6E"/>
    <w:rsid w:val="4068136A"/>
    <w:rsid w:val="41210A94"/>
    <w:rsid w:val="42721393"/>
    <w:rsid w:val="427F1D82"/>
    <w:rsid w:val="42AB0C22"/>
    <w:rsid w:val="484A6E97"/>
    <w:rsid w:val="4A9B42A2"/>
    <w:rsid w:val="4BD016F9"/>
    <w:rsid w:val="4C00468E"/>
    <w:rsid w:val="4DC66AD1"/>
    <w:rsid w:val="4E7EB237"/>
    <w:rsid w:val="4E896CF3"/>
    <w:rsid w:val="4F8545A9"/>
    <w:rsid w:val="4FE75803"/>
    <w:rsid w:val="4FFD0391"/>
    <w:rsid w:val="4FFF1946"/>
    <w:rsid w:val="502179C6"/>
    <w:rsid w:val="50692184"/>
    <w:rsid w:val="510F2142"/>
    <w:rsid w:val="5243353B"/>
    <w:rsid w:val="526602D5"/>
    <w:rsid w:val="526745E2"/>
    <w:rsid w:val="53977ACD"/>
    <w:rsid w:val="545509EE"/>
    <w:rsid w:val="54770964"/>
    <w:rsid w:val="553A7806"/>
    <w:rsid w:val="55567D78"/>
    <w:rsid w:val="55B55BE8"/>
    <w:rsid w:val="55DA366B"/>
    <w:rsid w:val="55F63225"/>
    <w:rsid w:val="564A6ABE"/>
    <w:rsid w:val="56D41079"/>
    <w:rsid w:val="57775B77"/>
    <w:rsid w:val="579B0E0D"/>
    <w:rsid w:val="57FF284D"/>
    <w:rsid w:val="5AEA76C6"/>
    <w:rsid w:val="5B135943"/>
    <w:rsid w:val="5B5D9BF2"/>
    <w:rsid w:val="5B7F31D3"/>
    <w:rsid w:val="5B7FC57E"/>
    <w:rsid w:val="5BB71F8E"/>
    <w:rsid w:val="5BF7EDE3"/>
    <w:rsid w:val="5C6833A2"/>
    <w:rsid w:val="5CBD80FF"/>
    <w:rsid w:val="5D31D5EB"/>
    <w:rsid w:val="5D3A560B"/>
    <w:rsid w:val="5E774970"/>
    <w:rsid w:val="5E7FD827"/>
    <w:rsid w:val="5EBCB4E4"/>
    <w:rsid w:val="5EE9BA29"/>
    <w:rsid w:val="5EF3FAA8"/>
    <w:rsid w:val="5EFDB41D"/>
    <w:rsid w:val="5FBE819B"/>
    <w:rsid w:val="5FFC6A71"/>
    <w:rsid w:val="5FFDE425"/>
    <w:rsid w:val="60AC408B"/>
    <w:rsid w:val="62932AD7"/>
    <w:rsid w:val="637A7968"/>
    <w:rsid w:val="66AE34E3"/>
    <w:rsid w:val="66EBAB0F"/>
    <w:rsid w:val="66EF42D6"/>
    <w:rsid w:val="677FD3F0"/>
    <w:rsid w:val="67DFBA56"/>
    <w:rsid w:val="67FE64FE"/>
    <w:rsid w:val="67FF29E7"/>
    <w:rsid w:val="680775C9"/>
    <w:rsid w:val="69092D7D"/>
    <w:rsid w:val="69281EAE"/>
    <w:rsid w:val="69F66A8B"/>
    <w:rsid w:val="6B74257D"/>
    <w:rsid w:val="6B7A4A6C"/>
    <w:rsid w:val="6BFF20AD"/>
    <w:rsid w:val="6D38C564"/>
    <w:rsid w:val="6DB950BC"/>
    <w:rsid w:val="6DEA3661"/>
    <w:rsid w:val="6DEE131F"/>
    <w:rsid w:val="6F045092"/>
    <w:rsid w:val="6F293F18"/>
    <w:rsid w:val="6FBFCC3F"/>
    <w:rsid w:val="6FFB9648"/>
    <w:rsid w:val="70447E3C"/>
    <w:rsid w:val="71FF6ADA"/>
    <w:rsid w:val="72404633"/>
    <w:rsid w:val="7243772A"/>
    <w:rsid w:val="72F713A7"/>
    <w:rsid w:val="730F2E11"/>
    <w:rsid w:val="73DD7754"/>
    <w:rsid w:val="73DF71A1"/>
    <w:rsid w:val="73FD261C"/>
    <w:rsid w:val="755EEFBB"/>
    <w:rsid w:val="7579E675"/>
    <w:rsid w:val="75EB03AD"/>
    <w:rsid w:val="75EB0D5A"/>
    <w:rsid w:val="764E3614"/>
    <w:rsid w:val="76A72ED3"/>
    <w:rsid w:val="76FCA71F"/>
    <w:rsid w:val="76FD9C8D"/>
    <w:rsid w:val="772A140E"/>
    <w:rsid w:val="772E2DCB"/>
    <w:rsid w:val="77452C8F"/>
    <w:rsid w:val="777D4863"/>
    <w:rsid w:val="77AD27DC"/>
    <w:rsid w:val="77F7B6C4"/>
    <w:rsid w:val="77F7C83C"/>
    <w:rsid w:val="77FF00CB"/>
    <w:rsid w:val="79733CB3"/>
    <w:rsid w:val="7977BA56"/>
    <w:rsid w:val="7977F85E"/>
    <w:rsid w:val="7A6D2811"/>
    <w:rsid w:val="7ABF663C"/>
    <w:rsid w:val="7AD3A697"/>
    <w:rsid w:val="7AE90028"/>
    <w:rsid w:val="7B7F2648"/>
    <w:rsid w:val="7BFB81BC"/>
    <w:rsid w:val="7BFF0DDC"/>
    <w:rsid w:val="7C605C9A"/>
    <w:rsid w:val="7D7FCAEF"/>
    <w:rsid w:val="7EBB1F85"/>
    <w:rsid w:val="7ECF8A4E"/>
    <w:rsid w:val="7EEB5A7B"/>
    <w:rsid w:val="7EFD55B7"/>
    <w:rsid w:val="7EFF20E4"/>
    <w:rsid w:val="7F0FD05C"/>
    <w:rsid w:val="7F6F73F6"/>
    <w:rsid w:val="7F8B8AAC"/>
    <w:rsid w:val="7FB0644E"/>
    <w:rsid w:val="7FBB045C"/>
    <w:rsid w:val="7FD75342"/>
    <w:rsid w:val="7FD797C1"/>
    <w:rsid w:val="7FDFDFA3"/>
    <w:rsid w:val="7FE41EBE"/>
    <w:rsid w:val="7FEB30DA"/>
    <w:rsid w:val="7FEF1B6A"/>
    <w:rsid w:val="7FFA1F94"/>
    <w:rsid w:val="7FFEAE90"/>
    <w:rsid w:val="7FFF3274"/>
    <w:rsid w:val="7FFF833D"/>
    <w:rsid w:val="7FFFB557"/>
    <w:rsid w:val="85FD7214"/>
    <w:rsid w:val="8BF3B7D3"/>
    <w:rsid w:val="8CD4F6A0"/>
    <w:rsid w:val="8FFF9693"/>
    <w:rsid w:val="971E611C"/>
    <w:rsid w:val="97CE67C4"/>
    <w:rsid w:val="9AD6279C"/>
    <w:rsid w:val="9FFEFE59"/>
    <w:rsid w:val="A5BD2FB3"/>
    <w:rsid w:val="AB7A4887"/>
    <w:rsid w:val="AFBFF075"/>
    <w:rsid w:val="AFDD845F"/>
    <w:rsid w:val="AFEEB87F"/>
    <w:rsid w:val="B5F6CC7B"/>
    <w:rsid w:val="B5FFA2A3"/>
    <w:rsid w:val="B67FED1B"/>
    <w:rsid w:val="B7B6A05A"/>
    <w:rsid w:val="B8ED9876"/>
    <w:rsid w:val="BA7D3E91"/>
    <w:rsid w:val="BAFDC19F"/>
    <w:rsid w:val="BD7D93F4"/>
    <w:rsid w:val="BD9FA5BB"/>
    <w:rsid w:val="BE3FDD05"/>
    <w:rsid w:val="BEFFDE4D"/>
    <w:rsid w:val="BF6F1E7D"/>
    <w:rsid w:val="BFDF94EA"/>
    <w:rsid w:val="C2DAE6A9"/>
    <w:rsid w:val="C7DF2CF2"/>
    <w:rsid w:val="C7FEE08B"/>
    <w:rsid w:val="CBF96522"/>
    <w:rsid w:val="CFEF90B5"/>
    <w:rsid w:val="D1D7FB71"/>
    <w:rsid w:val="D2B30263"/>
    <w:rsid w:val="D6EB65E4"/>
    <w:rsid w:val="D7FD8E94"/>
    <w:rsid w:val="D9BFBCD3"/>
    <w:rsid w:val="DB7E4567"/>
    <w:rsid w:val="DEFF25C9"/>
    <w:rsid w:val="DEFFC70F"/>
    <w:rsid w:val="DFBB02FB"/>
    <w:rsid w:val="DFFDD1A4"/>
    <w:rsid w:val="E69F2956"/>
    <w:rsid w:val="E7DF07FD"/>
    <w:rsid w:val="E9A749A7"/>
    <w:rsid w:val="E9F92BC6"/>
    <w:rsid w:val="E9FFC594"/>
    <w:rsid w:val="EAEB760F"/>
    <w:rsid w:val="EBFECE7A"/>
    <w:rsid w:val="ED7F1624"/>
    <w:rsid w:val="ED8BE190"/>
    <w:rsid w:val="EE5B2FF5"/>
    <w:rsid w:val="EE752F5E"/>
    <w:rsid w:val="EFBA7AF7"/>
    <w:rsid w:val="EFFB7B24"/>
    <w:rsid w:val="F0F2AF1C"/>
    <w:rsid w:val="F22F928E"/>
    <w:rsid w:val="F27F94A7"/>
    <w:rsid w:val="F2F67F9E"/>
    <w:rsid w:val="F2FDB09C"/>
    <w:rsid w:val="F573F97D"/>
    <w:rsid w:val="F5E756C9"/>
    <w:rsid w:val="F66B9419"/>
    <w:rsid w:val="F6FD0E72"/>
    <w:rsid w:val="F7DBD343"/>
    <w:rsid w:val="F7DF3759"/>
    <w:rsid w:val="F7DF6624"/>
    <w:rsid w:val="F7FF7A91"/>
    <w:rsid w:val="FA7F168C"/>
    <w:rsid w:val="FA7F34E8"/>
    <w:rsid w:val="FAB300CE"/>
    <w:rsid w:val="FAF7295E"/>
    <w:rsid w:val="FB29B5F9"/>
    <w:rsid w:val="FB7E8EF2"/>
    <w:rsid w:val="FBA39E30"/>
    <w:rsid w:val="FC8964A9"/>
    <w:rsid w:val="FCAF897E"/>
    <w:rsid w:val="FDDE163F"/>
    <w:rsid w:val="FDDE83B0"/>
    <w:rsid w:val="FDFDDF6E"/>
    <w:rsid w:val="FE3F533B"/>
    <w:rsid w:val="FEFD45EC"/>
    <w:rsid w:val="FEFE1BC7"/>
    <w:rsid w:val="FEFF6365"/>
    <w:rsid w:val="FF7D42A1"/>
    <w:rsid w:val="FF9F32F5"/>
    <w:rsid w:val="FFBD6B02"/>
    <w:rsid w:val="FFC59CBE"/>
    <w:rsid w:val="FFCFFADF"/>
    <w:rsid w:val="FFDA459D"/>
    <w:rsid w:val="FFDD183D"/>
    <w:rsid w:val="FFDE14E4"/>
    <w:rsid w:val="FFF8FE00"/>
    <w:rsid w:val="FFFA1E89"/>
    <w:rsid w:val="FFFAA8F3"/>
    <w:rsid w:val="FFFBBFD0"/>
    <w:rsid w:val="FFFBC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keepNext/>
      <w:keepLines/>
      <w:numPr>
        <w:ilvl w:val="2"/>
        <w:numId w:val="1"/>
      </w:numPr>
      <w:ind w:left="0" w:firstLine="0"/>
      <w:outlineLvl w:val="2"/>
    </w:pPr>
    <w:rPr>
      <w:b/>
      <w:bCs/>
      <w:sz w:val="28"/>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qFormat/>
    <w:uiPriority w:val="0"/>
    <w:pPr>
      <w:jc w:val="left"/>
    </w:pPr>
  </w:style>
  <w:style w:type="paragraph" w:styleId="6">
    <w:name w:val="Body Text"/>
    <w:basedOn w:val="1"/>
    <w:next w:val="1"/>
    <w:qFormat/>
    <w:uiPriority w:val="0"/>
    <w:pPr>
      <w:tabs>
        <w:tab w:val="left" w:pos="0"/>
      </w:tabs>
      <w:spacing w:after="12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unhideWhenUsed/>
    <w:qFormat/>
    <w:uiPriority w:val="99"/>
    <w:pPr>
      <w:ind w:firstLine="420" w:firstLineChars="100"/>
    </w:pPr>
    <w:rPr>
      <w:rFonts w:asciiTheme="minorHAnsi" w:hAnsiTheme="minorHAnsi" w:eastAsiaTheme="minorEastAsia" w:cstheme="minorBidi"/>
      <w:szCs w:val="22"/>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paragraph" w:customStyle="1" w:styleId="14">
    <w:name w:val="正文1"/>
    <w:basedOn w:val="15"/>
    <w:next w:val="1"/>
    <w:autoRedefine/>
    <w:qFormat/>
    <w:uiPriority w:val="0"/>
    <w:pPr>
      <w:spacing w:line="318" w:lineRule="atLeast"/>
      <w:ind w:left="369" w:firstLine="369"/>
    </w:pPr>
    <w:rPr>
      <w:rFonts w:ascii="宋体"/>
    </w:rPr>
  </w:style>
  <w:style w:type="paragraph" w:customStyle="1" w:styleId="15">
    <w:name w:val="正文_1"/>
    <w:basedOn w:val="16"/>
    <w:autoRedefine/>
    <w:qFormat/>
    <w:uiPriority w:val="0"/>
    <w:rPr>
      <w:rFonts w:cs="Calibri"/>
      <w:szCs w:val="21"/>
    </w:rPr>
  </w:style>
  <w:style w:type="paragraph" w:customStyle="1" w:styleId="16">
    <w:name w:val="正文_2"/>
    <w:basedOn w:val="17"/>
    <w:next w:val="23"/>
    <w:autoRedefine/>
    <w:qFormat/>
    <w:uiPriority w:val="0"/>
  </w:style>
  <w:style w:type="paragraph" w:customStyle="1" w:styleId="17">
    <w:name w:val="正文_3"/>
    <w:next w:val="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文本_1"/>
    <w:basedOn w:val="19"/>
    <w:autoRedefine/>
    <w:unhideWhenUsed/>
    <w:qFormat/>
    <w:uiPriority w:val="0"/>
    <w:pPr>
      <w:spacing w:after="120"/>
    </w:pPr>
    <w:rPr>
      <w:rFonts w:eastAsia="宋体" w:cs="Times New Roman"/>
    </w:rPr>
  </w:style>
  <w:style w:type="paragraph" w:customStyle="1" w:styleId="19">
    <w:name w:val="正文_2_0"/>
    <w:basedOn w:val="20"/>
    <w:next w:val="18"/>
    <w:autoRedefine/>
    <w:qFormat/>
    <w:uiPriority w:val="0"/>
    <w:rPr>
      <w:rFonts w:ascii="Calibri" w:hAnsi="Calibri"/>
      <w:sz w:val="21"/>
      <w:lang w:eastAsia="zh-CN"/>
    </w:rPr>
  </w:style>
  <w:style w:type="paragraph" w:customStyle="1" w:styleId="20">
    <w:name w:val="正文_3_0"/>
    <w:basedOn w:val="21"/>
    <w:autoRedefine/>
    <w:qFormat/>
    <w:uiPriority w:val="0"/>
    <w:pPr>
      <w:autoSpaceDE w:val="0"/>
      <w:autoSpaceDN w:val="0"/>
    </w:pPr>
    <w:rPr>
      <w:rFonts w:ascii="FangSong" w:hAnsi="FangSong" w:eastAsia="FangSong" w:cs="FangSong"/>
      <w:sz w:val="22"/>
      <w:lang w:eastAsia="en-US"/>
    </w:rPr>
  </w:style>
  <w:style w:type="paragraph" w:customStyle="1" w:styleId="21">
    <w:name w:val="正文_4_0"/>
    <w:basedOn w:val="22"/>
    <w:autoRedefine/>
    <w:qFormat/>
    <w:uiPriority w:val="0"/>
  </w:style>
  <w:style w:type="paragraph" w:customStyle="1" w:styleId="22">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styleId="23">
    <w:name w:val="No Spacing"/>
    <w:next w:val="24"/>
    <w:qFormat/>
    <w:uiPriority w:val="1"/>
    <w:rPr>
      <w:rFonts w:ascii="Calibri" w:hAnsi="Calibri" w:eastAsia="宋体" w:cs="Times New Roman"/>
      <w:sz w:val="22"/>
      <w:szCs w:val="22"/>
      <w:lang w:val="en-US" w:eastAsia="zh-CN" w:bidi="ar-SA"/>
    </w:rPr>
  </w:style>
  <w:style w:type="paragraph" w:customStyle="1" w:styleId="24">
    <w:name w:val="样式 标题 3 + (中文) 黑体 小四 非加粗 段前: 7.8 磅 段后: 0 磅 行距: 固定值 20 磅"/>
    <w:basedOn w:val="3"/>
    <w:autoRedefine/>
    <w:qFormat/>
    <w:uiPriority w:val="0"/>
    <w:pPr>
      <w:spacing w:line="400" w:lineRule="exact"/>
    </w:pPr>
    <w:rPr>
      <w:rFonts w:eastAsia="黑体" w:cs="宋体"/>
      <w:b w:val="0"/>
      <w:sz w:val="21"/>
      <w:szCs w:val="20"/>
    </w:rPr>
  </w:style>
  <w:style w:type="paragraph" w:customStyle="1" w:styleId="25">
    <w:name w:val="无间隔1"/>
    <w:basedOn w:val="1"/>
    <w:next w:val="24"/>
    <w:autoRedefine/>
    <w:qFormat/>
    <w:uiPriority w:val="1"/>
  </w:style>
  <w:style w:type="paragraph" w:customStyle="1" w:styleId="26">
    <w:name w:val="样式4"/>
    <w:basedOn w:val="1"/>
    <w:qFormat/>
    <w:uiPriority w:val="0"/>
    <w:pPr>
      <w:spacing w:line="560" w:lineRule="exact"/>
      <w:ind w:firstLine="200" w:firstLineChars="200"/>
    </w:pPr>
    <w:rPr>
      <w:rFonts w:ascii="宋体" w:hAnsi="宋体" w:eastAsia="FangSong"/>
      <w:sz w:val="32"/>
      <w:szCs w:val="28"/>
    </w:rPr>
  </w:style>
  <w:style w:type="character" w:customStyle="1" w:styleId="27">
    <w:name w:val="页眉 字符"/>
    <w:basedOn w:val="12"/>
    <w:link w:val="8"/>
    <w:qFormat/>
    <w:uiPriority w:val="0"/>
    <w:rPr>
      <w:kern w:val="2"/>
      <w:sz w:val="18"/>
      <w:szCs w:val="18"/>
    </w:rPr>
  </w:style>
  <w:style w:type="paragraph" w:styleId="28">
    <w:name w:val="List Paragraph"/>
    <w:basedOn w:val="1"/>
    <w:qFormat/>
    <w:uiPriority w:val="99"/>
    <w:pPr>
      <w:ind w:firstLine="420" w:firstLineChars="200"/>
    </w:pPr>
  </w:style>
  <w:style w:type="character" w:customStyle="1" w:styleId="29">
    <w:name w:val="font61"/>
    <w:basedOn w:val="12"/>
    <w:uiPriority w:val="0"/>
    <w:rPr>
      <w:rFonts w:ascii="楷体" w:hAnsi="楷体" w:eastAsia="楷体" w:cs="楷体"/>
      <w:b/>
      <w:bCs/>
      <w:color w:val="000000"/>
      <w:sz w:val="24"/>
      <w:szCs w:val="24"/>
      <w:u w:val="none"/>
    </w:rPr>
  </w:style>
  <w:style w:type="character" w:customStyle="1" w:styleId="30">
    <w:name w:val="font71"/>
    <w:basedOn w:val="12"/>
    <w:uiPriority w:val="0"/>
    <w:rPr>
      <w:rFonts w:ascii="FangSong" w:hAnsi="FangSong" w:eastAsia="FangSong" w:cs="FangSong"/>
      <w:b/>
      <w:bCs/>
      <w:color w:val="000000"/>
      <w:sz w:val="24"/>
      <w:szCs w:val="24"/>
      <w:u w:val="none"/>
    </w:rPr>
  </w:style>
  <w:style w:type="character" w:customStyle="1" w:styleId="31">
    <w:name w:val="font121"/>
    <w:basedOn w:val="12"/>
    <w:uiPriority w:val="0"/>
    <w:rPr>
      <w:rFonts w:hint="default" w:ascii="FangSong" w:hAnsi="FangSong" w:eastAsia="FangSong" w:cs="FangSong"/>
      <w:color w:val="000000"/>
      <w:sz w:val="24"/>
      <w:szCs w:val="24"/>
      <w:u w:val="none"/>
    </w:rPr>
  </w:style>
  <w:style w:type="character" w:customStyle="1" w:styleId="32">
    <w:name w:val="font101"/>
    <w:basedOn w:val="12"/>
    <w:uiPriority w:val="0"/>
    <w:rPr>
      <w:rFonts w:hint="default" w:ascii="FangSong" w:hAnsi="FangSong" w:eastAsia="FangSong" w:cs="FangSong"/>
      <w:color w:val="000000"/>
      <w:sz w:val="24"/>
      <w:szCs w:val="24"/>
      <w:u w:val="none"/>
    </w:rPr>
  </w:style>
  <w:style w:type="character" w:customStyle="1" w:styleId="33">
    <w:name w:val="font112"/>
    <w:basedOn w:val="12"/>
    <w:uiPriority w:val="0"/>
    <w:rPr>
      <w:rFonts w:ascii="Segoe UI Symbol" w:hAnsi="Segoe UI Symbol" w:eastAsia="Segoe UI Symbol" w:cs="Segoe UI Symbol"/>
      <w:b/>
      <w:bCs/>
      <w:color w:val="000000"/>
      <w:sz w:val="24"/>
      <w:szCs w:val="24"/>
      <w:u w:val="none"/>
    </w:rPr>
  </w:style>
  <w:style w:type="character" w:customStyle="1" w:styleId="34">
    <w:name w:val="font21"/>
    <w:basedOn w:val="12"/>
    <w:uiPriority w:val="0"/>
    <w:rPr>
      <w:rFonts w:hint="default" w:ascii="Times New Roman Regular" w:hAnsi="Times New Roman Regular" w:eastAsia="Times New Roman Regular" w:cs="Times New Roman Regular"/>
      <w:b/>
      <w:bCs/>
      <w:color w:val="000000"/>
      <w:sz w:val="24"/>
      <w:szCs w:val="24"/>
      <w:u w:val="none"/>
    </w:rPr>
  </w:style>
  <w:style w:type="character" w:customStyle="1" w:styleId="35">
    <w:name w:val="font51"/>
    <w:basedOn w:val="12"/>
    <w:uiPriority w:val="0"/>
    <w:rPr>
      <w:rFonts w:ascii="宋体-简" w:hAnsi="宋体-简" w:eastAsia="宋体-简" w:cs="宋体-简"/>
      <w:color w:val="000000"/>
      <w:sz w:val="22"/>
      <w:szCs w:val="22"/>
      <w:u w:val="none"/>
    </w:rPr>
  </w:style>
  <w:style w:type="character" w:customStyle="1" w:styleId="36">
    <w:name w:val="font31"/>
    <w:basedOn w:val="12"/>
    <w:uiPriority w:val="0"/>
    <w:rPr>
      <w:rFonts w:hint="eastAsia" w:ascii="宋体" w:hAnsi="宋体" w:eastAsia="宋体" w:cs="宋体"/>
      <w:color w:val="000000"/>
      <w:sz w:val="22"/>
      <w:szCs w:val="22"/>
      <w:u w:val="none"/>
    </w:rPr>
  </w:style>
  <w:style w:type="character" w:customStyle="1" w:styleId="37">
    <w:name w:val="font41"/>
    <w:basedOn w:val="12"/>
    <w:uiPriority w:val="0"/>
    <w:rPr>
      <w:rFonts w:hint="default" w:ascii="Times New Roman Regular" w:hAnsi="Times New Roman Regular" w:eastAsia="Times New Roman Regular" w:cs="Times New Roman Regular"/>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CD019D-915F-4398-9B03-5B93385FF9C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1850</Words>
  <Characters>10549</Characters>
  <Lines>87</Lines>
  <Paragraphs>24</Paragraphs>
  <TotalTime>0</TotalTime>
  <ScaleCrop>false</ScaleCrop>
  <LinksUpToDate>false</LinksUpToDate>
  <CharactersWithSpaces>12375</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2022-04-27T16:51:00Z</dcterms:created>
  <dc:creator>Anna</dc:creator>
  <cp:lastModifiedBy>东吴乐</cp:lastModifiedBy>
  <cp:lastPrinted>2024-10-14T00:54:00Z</cp:lastPrinted>
  <dcterms:modified xsi:type="dcterms:W3CDTF">2026-08-16T18:15:48Z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4E1DAE7EB04498DBACA1EB6733D239F8_43</vt:lpwstr>
  </property>
</Properties>
</file>