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90F3F">
      <w:pPr>
        <w:ind w:firstLine="440" w:firstLineChars="100"/>
        <w:jc w:val="both"/>
        <w:rPr>
          <w:rFonts w:hint="eastAsia" w:ascii="仿宋" w:hAnsi="仿宋" w:eastAsia="仿宋" w:cs="仿宋"/>
          <w:sz w:val="44"/>
          <w:szCs w:val="44"/>
        </w:rPr>
      </w:pPr>
      <w:r>
        <w:rPr>
          <w:rFonts w:hint="eastAsia" w:ascii="仿宋" w:hAnsi="仿宋" w:eastAsia="仿宋" w:cs="仿宋"/>
          <w:sz w:val="44"/>
          <w:szCs w:val="44"/>
          <w:lang w:val="en-US" w:eastAsia="zh-CN"/>
        </w:rPr>
        <w:t>中心实验室激光共聚焦UPS更换</w:t>
      </w:r>
      <w:r>
        <w:rPr>
          <w:rFonts w:hint="eastAsia" w:ascii="仿宋" w:hAnsi="仿宋" w:eastAsia="仿宋" w:cs="仿宋"/>
          <w:sz w:val="44"/>
          <w:szCs w:val="44"/>
        </w:rPr>
        <w:t>项目</w:t>
      </w:r>
    </w:p>
    <w:p w14:paraId="041CC5F7">
      <w:pPr>
        <w:ind w:firstLine="3080" w:firstLineChars="700"/>
        <w:jc w:val="both"/>
        <w:rPr>
          <w:rFonts w:ascii="方正小标宋简体" w:hAnsi="仿宋" w:eastAsia="方正小标宋简体"/>
          <w:sz w:val="44"/>
          <w:szCs w:val="44"/>
        </w:rPr>
      </w:pPr>
      <w:r>
        <w:rPr>
          <w:rFonts w:hint="eastAsia" w:ascii="仿宋" w:hAnsi="仿宋" w:eastAsia="仿宋" w:cs="仿宋"/>
          <w:sz w:val="44"/>
          <w:szCs w:val="44"/>
        </w:rPr>
        <w:t>比价方案</w:t>
      </w:r>
    </w:p>
    <w:p w14:paraId="3E9819C4">
      <w:pPr>
        <w:ind w:firstLine="600" w:firstLineChars="200"/>
        <w:rPr>
          <w:rFonts w:hint="default" w:ascii="仿宋" w:hAnsi="仿宋" w:eastAsia="仿宋"/>
          <w:sz w:val="30"/>
          <w:szCs w:val="30"/>
          <w:lang w:val="en-US" w:eastAsia="zh-CN"/>
        </w:rPr>
      </w:pPr>
      <w:r>
        <w:rPr>
          <w:rFonts w:hint="eastAsia" w:ascii="黑体" w:hAnsi="黑体" w:eastAsia="黑体"/>
          <w:sz w:val="30"/>
          <w:szCs w:val="30"/>
        </w:rPr>
        <w:t>一、项目名称</w:t>
      </w:r>
      <w:r>
        <w:rPr>
          <w:rFonts w:hint="eastAsia" w:ascii="仿宋" w:hAnsi="仿宋" w:eastAsia="仿宋"/>
          <w:sz w:val="30"/>
          <w:szCs w:val="30"/>
        </w:rPr>
        <w:t>：</w:t>
      </w:r>
      <w:r>
        <w:rPr>
          <w:rFonts w:hint="eastAsia" w:ascii="仿宋" w:hAnsi="仿宋" w:eastAsia="仿宋"/>
          <w:sz w:val="30"/>
          <w:szCs w:val="30"/>
          <w:lang w:val="en-US" w:eastAsia="zh-CN"/>
        </w:rPr>
        <w:t>中心实验室激光共聚焦UPS更换。</w:t>
      </w:r>
    </w:p>
    <w:p w14:paraId="207E65F3">
      <w:pPr>
        <w:ind w:firstLine="600" w:firstLineChars="200"/>
        <w:rPr>
          <w:rFonts w:ascii="仿宋" w:hAnsi="仿宋" w:eastAsia="仿宋"/>
          <w:sz w:val="30"/>
          <w:szCs w:val="30"/>
        </w:rPr>
      </w:pPr>
      <w:r>
        <w:rPr>
          <w:rFonts w:hint="eastAsia" w:ascii="黑体" w:hAnsi="黑体" w:eastAsia="黑体"/>
          <w:sz w:val="30"/>
          <w:szCs w:val="30"/>
        </w:rPr>
        <w:t>二、项目概况及要求</w:t>
      </w:r>
      <w:r>
        <w:rPr>
          <w:rFonts w:hint="eastAsia" w:ascii="仿宋" w:hAnsi="仿宋" w:eastAsia="仿宋"/>
          <w:sz w:val="30"/>
          <w:szCs w:val="30"/>
        </w:rPr>
        <w:t>：</w:t>
      </w:r>
    </w:p>
    <w:p w14:paraId="11EA9608">
      <w:pPr>
        <w:spacing w:line="240" w:lineRule="auto"/>
        <w:ind w:firstLine="600" w:firstLineChars="200"/>
        <w:rPr>
          <w:rFonts w:hint="default" w:ascii="仿宋" w:hAnsi="仿宋" w:eastAsia="仿宋"/>
          <w:color w:val="000000" w:themeColor="text1"/>
          <w:sz w:val="30"/>
          <w:szCs w:val="30"/>
          <w:lang w:val="en-US" w:eastAsia="zh-CN"/>
          <w14:textFill>
            <w14:solidFill>
              <w14:schemeClr w14:val="tx1"/>
            </w14:solidFill>
          </w14:textFill>
        </w:rPr>
      </w:pPr>
      <w:r>
        <w:rPr>
          <w:rFonts w:hint="eastAsia" w:ascii="楷体" w:hAnsi="楷体" w:eastAsia="楷体"/>
          <w:sz w:val="30"/>
          <w:szCs w:val="30"/>
        </w:rPr>
        <w:t>㈠项目概况</w:t>
      </w:r>
      <w:r>
        <w:rPr>
          <w:rFonts w:hint="eastAsia" w:ascii="仿宋" w:hAnsi="仿宋" w:eastAsia="仿宋"/>
          <w:sz w:val="30"/>
          <w:szCs w:val="30"/>
        </w:rPr>
        <w:t>：</w:t>
      </w:r>
      <w:r>
        <w:rPr>
          <w:rFonts w:hint="eastAsia" w:ascii="仿宋" w:hAnsi="仿宋" w:eastAsia="仿宋"/>
          <w:sz w:val="30"/>
          <w:szCs w:val="30"/>
          <w:lang w:val="en-US" w:eastAsia="zh-CN"/>
        </w:rPr>
        <w:t>中心实验室激光共聚焦原UPS已使用多年，目前已无法维修，须更换一台输入与输出电压均为220V，容量不小于6KVA，不间断供电时间不少于15分钟的UPS</w:t>
      </w:r>
      <w:r>
        <w:rPr>
          <w:rFonts w:hint="eastAsia" w:ascii="仿宋" w:hAnsi="仿宋" w:eastAsia="仿宋"/>
          <w:color w:val="FF0000"/>
          <w:sz w:val="30"/>
          <w:szCs w:val="30"/>
          <w:lang w:val="en-US" w:eastAsia="zh-CN"/>
        </w:rPr>
        <w:t>（中标单位利用原UPS电源,负责UPS整机安装调试工作，以及原UPS主机拆除搬运到医院指定地点等相关全部内容）。</w:t>
      </w:r>
    </w:p>
    <w:p w14:paraId="42998EDF">
      <w:pPr>
        <w:spacing w:line="240" w:lineRule="auto"/>
        <w:ind w:firstLine="600" w:firstLineChars="200"/>
        <w:rPr>
          <w:rFonts w:hint="eastAsia" w:ascii="仿宋" w:hAnsi="仿宋" w:eastAsia="仿宋"/>
          <w:sz w:val="30"/>
          <w:szCs w:val="30"/>
        </w:rPr>
      </w:pPr>
      <w:r>
        <w:rPr>
          <w:rFonts w:hint="eastAsia" w:ascii="楷体" w:hAnsi="楷体" w:eastAsia="楷体"/>
          <w:sz w:val="30"/>
          <w:szCs w:val="30"/>
        </w:rPr>
        <w:t>㈡施工要求</w:t>
      </w:r>
      <w:r>
        <w:rPr>
          <w:rFonts w:hint="eastAsia" w:ascii="仿宋" w:hAnsi="仿宋" w:eastAsia="仿宋"/>
          <w:sz w:val="30"/>
          <w:szCs w:val="30"/>
        </w:rPr>
        <w:t>：</w:t>
      </w:r>
    </w:p>
    <w:p w14:paraId="287ED466">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1.须提供UPS产品合格证；</w:t>
      </w:r>
    </w:p>
    <w:p w14:paraId="4F28AA17">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2.UPS整机质保期不少于</w:t>
      </w:r>
      <w:r>
        <w:rPr>
          <w:rFonts w:hint="eastAsia" w:ascii="仿宋" w:hAnsi="仿宋" w:eastAsia="仿宋" w:cs="仿宋"/>
          <w:color w:val="000000" w:themeColor="text1"/>
          <w:sz w:val="30"/>
          <w:szCs w:val="30"/>
          <w:highlight w:val="none"/>
          <w:lang w:val="en-US" w:eastAsia="zh-CN"/>
          <w14:textFill>
            <w14:solidFill>
              <w14:schemeClr w14:val="tx1"/>
            </w14:solidFill>
          </w14:textFill>
        </w:rPr>
        <w:t>3年</w:t>
      </w:r>
      <w:r>
        <w:rPr>
          <w:rFonts w:hint="eastAsia" w:ascii="仿宋" w:hAnsi="仿宋" w:eastAsia="仿宋" w:cs="仿宋"/>
          <w:sz w:val="30"/>
          <w:szCs w:val="30"/>
          <w:lang w:val="en-US" w:eastAsia="zh-CN"/>
        </w:rPr>
        <w:t>；</w:t>
      </w:r>
    </w:p>
    <w:p w14:paraId="54380F84">
      <w:pPr>
        <w:numPr>
          <w:ilvl w:val="0"/>
          <w:numId w:val="0"/>
        </w:numPr>
        <w:spacing w:line="240" w:lineRule="auto"/>
        <w:ind w:firstLine="600" w:firstLineChars="200"/>
        <w:rPr>
          <w:rFonts w:hint="default"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仿宋" w:hAnsi="仿宋" w:eastAsia="仿宋" w:cs="仿宋"/>
          <w:sz w:val="30"/>
          <w:szCs w:val="30"/>
          <w:lang w:val="en-US" w:eastAsia="zh-CN"/>
        </w:rPr>
        <w:t>3.UPS安装所有相关项目</w:t>
      </w:r>
      <w:r>
        <w:rPr>
          <w:rFonts w:hint="eastAsia"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须满足国家规范要求；</w:t>
      </w:r>
    </w:p>
    <w:p w14:paraId="08EAC0ED">
      <w:pPr>
        <w:numPr>
          <w:ilvl w:val="0"/>
          <w:numId w:val="0"/>
        </w:numPr>
        <w:spacing w:line="240" w:lineRule="auto"/>
        <w:ind w:firstLine="600" w:firstLineChars="200"/>
        <w:rPr>
          <w:rFonts w:ascii="仿宋" w:hAnsi="仿宋" w:eastAsia="仿宋"/>
          <w:sz w:val="30"/>
          <w:szCs w:val="30"/>
          <w:lang w:val="zh-CN"/>
        </w:rPr>
      </w:pPr>
      <w:r>
        <w:rPr>
          <w:rFonts w:hint="eastAsia" w:ascii="仿宋" w:hAnsi="仿宋" w:eastAsia="仿宋" w:cs="仿宋"/>
          <w:sz w:val="30"/>
          <w:szCs w:val="30"/>
          <w:lang w:val="en-US" w:eastAsia="zh-CN"/>
        </w:rPr>
        <w:t>4.安装</w:t>
      </w:r>
      <w:r>
        <w:rPr>
          <w:rFonts w:hint="eastAsia" w:ascii="仿宋" w:hAnsi="仿宋" w:eastAsia="仿宋"/>
          <w:sz w:val="30"/>
          <w:szCs w:val="30"/>
          <w:lang w:val="zh-CN"/>
        </w:rPr>
        <w:t>过程中不得损坏任何设备，尽可能减少噪音，</w:t>
      </w:r>
      <w:r>
        <w:rPr>
          <w:rFonts w:hint="eastAsia" w:ascii="仿宋" w:hAnsi="仿宋" w:eastAsia="仿宋"/>
          <w:sz w:val="30"/>
          <w:szCs w:val="30"/>
          <w:lang w:val="en-US" w:eastAsia="zh-CN"/>
        </w:rPr>
        <w:t>所产生的垃圾人工清理外运。</w:t>
      </w:r>
    </w:p>
    <w:p w14:paraId="4BF65993">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5.施工时，施工人员安全及施工场所人员安全由施工方负责，和医院没有任何关系。</w:t>
      </w:r>
    </w:p>
    <w:p w14:paraId="0EEA7A72">
      <w:pPr>
        <w:spacing w:line="240" w:lineRule="auto"/>
        <w:ind w:firstLine="600" w:firstLineChars="200"/>
        <w:rPr>
          <w:rFonts w:ascii="仿宋" w:hAnsi="仿宋" w:eastAsia="仿宋"/>
          <w:sz w:val="30"/>
          <w:szCs w:val="30"/>
        </w:rPr>
      </w:pPr>
      <w:r>
        <w:rPr>
          <w:rFonts w:hint="eastAsia" w:ascii="楷体" w:hAnsi="楷体" w:eastAsia="楷体"/>
          <w:sz w:val="30"/>
          <w:szCs w:val="30"/>
        </w:rPr>
        <w:t>㈢质保期</w:t>
      </w:r>
      <w:r>
        <w:rPr>
          <w:rFonts w:hint="eastAsia" w:ascii="仿宋" w:hAnsi="仿宋" w:eastAsia="仿宋"/>
          <w:sz w:val="30"/>
          <w:szCs w:val="30"/>
        </w:rPr>
        <w:t>：</w:t>
      </w:r>
      <w:bookmarkStart w:id="0" w:name="_GoBack"/>
      <w:bookmarkEnd w:id="0"/>
    </w:p>
    <w:p w14:paraId="11DFDA8C">
      <w:pPr>
        <w:spacing w:line="240" w:lineRule="auto"/>
        <w:ind w:firstLine="600" w:firstLineChars="200"/>
        <w:rPr>
          <w:rFonts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本项目质保期为</w:t>
      </w:r>
      <w:r>
        <w:rPr>
          <w:rFonts w:hint="eastAsia" w:ascii="仿宋" w:hAnsi="仿宋" w:eastAsia="仿宋"/>
          <w:sz w:val="30"/>
          <w:szCs w:val="30"/>
          <w:highlight w:val="none"/>
          <w:lang w:val="en-US" w:eastAsia="zh-CN"/>
        </w:rPr>
        <w:t>三年</w:t>
      </w:r>
      <w:r>
        <w:rPr>
          <w:rFonts w:hint="eastAsia" w:ascii="仿宋" w:hAnsi="仿宋" w:eastAsia="仿宋"/>
          <w:sz w:val="30"/>
          <w:szCs w:val="30"/>
        </w:rPr>
        <w:t>（自验收合格之日起计），质保期内若出现非人为因素损坏，施工单位负责进行维修。</w:t>
      </w:r>
    </w:p>
    <w:p w14:paraId="0A8B5B44">
      <w:pPr>
        <w:spacing w:line="240" w:lineRule="auto"/>
        <w:ind w:firstLine="600" w:firstLineChars="200"/>
        <w:rPr>
          <w:rFonts w:ascii="仿宋" w:hAnsi="仿宋" w:eastAsia="仿宋"/>
          <w:sz w:val="30"/>
          <w:szCs w:val="30"/>
        </w:rPr>
      </w:pPr>
      <w:r>
        <w:rPr>
          <w:rFonts w:hint="eastAsia" w:ascii="楷体" w:hAnsi="楷体" w:eastAsia="楷体"/>
          <w:sz w:val="30"/>
          <w:szCs w:val="30"/>
        </w:rPr>
        <w:t>㈣费用结算</w:t>
      </w:r>
      <w:r>
        <w:rPr>
          <w:rFonts w:hint="eastAsia" w:ascii="仿宋" w:hAnsi="仿宋" w:eastAsia="仿宋"/>
          <w:sz w:val="30"/>
          <w:szCs w:val="30"/>
        </w:rPr>
        <w:t>：</w:t>
      </w:r>
    </w:p>
    <w:p w14:paraId="4738D879">
      <w:pPr>
        <w:spacing w:line="240" w:lineRule="auto"/>
        <w:ind w:firstLine="600" w:firstLineChars="200"/>
        <w:rPr>
          <w:rFonts w:ascii="仿宋" w:hAnsi="仿宋" w:eastAsia="仿宋"/>
          <w:sz w:val="30"/>
          <w:szCs w:val="30"/>
        </w:rPr>
      </w:pPr>
      <w:r>
        <w:rPr>
          <w:rFonts w:hint="eastAsia" w:ascii="仿宋" w:hAnsi="仿宋" w:eastAsia="仿宋"/>
          <w:sz w:val="30"/>
          <w:szCs w:val="30"/>
        </w:rPr>
        <w:t>1.投标报价为一口价，包含整个项目中产生</w:t>
      </w:r>
      <w:r>
        <w:rPr>
          <w:rFonts w:hint="eastAsia" w:ascii="仿宋" w:hAnsi="仿宋" w:eastAsia="仿宋"/>
          <w:sz w:val="30"/>
          <w:szCs w:val="30"/>
          <w:lang w:eastAsia="zh-CN"/>
        </w:rPr>
        <w:t>的</w:t>
      </w:r>
      <w:r>
        <w:rPr>
          <w:rFonts w:hint="eastAsia" w:ascii="仿宋" w:hAnsi="仿宋" w:eastAsia="仿宋"/>
          <w:sz w:val="30"/>
          <w:szCs w:val="30"/>
        </w:rPr>
        <w:t>所有费用</w:t>
      </w:r>
      <w:r>
        <w:rPr>
          <w:rFonts w:hint="eastAsia" w:ascii="仿宋" w:hAnsi="仿宋" w:eastAsia="仿宋"/>
          <w:sz w:val="30"/>
          <w:szCs w:val="30"/>
          <w:lang w:val="en-US" w:eastAsia="zh-CN"/>
        </w:rPr>
        <w:t>(如；产品搬运费、安装调试费、人工材料费、垃圾清运费、税费等等）</w:t>
      </w:r>
      <w:r>
        <w:rPr>
          <w:rFonts w:hint="eastAsia" w:ascii="仿宋" w:hAnsi="仿宋" w:eastAsia="仿宋"/>
          <w:sz w:val="30"/>
          <w:szCs w:val="30"/>
        </w:rPr>
        <w:t>。</w:t>
      </w:r>
    </w:p>
    <w:p w14:paraId="319684A6">
      <w:pPr>
        <w:spacing w:line="240" w:lineRule="auto"/>
        <w:ind w:firstLine="600" w:firstLineChars="200"/>
        <w:rPr>
          <w:rFonts w:ascii="仿宋" w:hAnsi="仿宋" w:eastAsia="仿宋"/>
          <w:sz w:val="30"/>
          <w:szCs w:val="30"/>
        </w:rPr>
      </w:pPr>
      <w:r>
        <w:rPr>
          <w:rFonts w:hint="eastAsia" w:ascii="仿宋" w:hAnsi="仿宋" w:eastAsia="仿宋"/>
          <w:sz w:val="30"/>
          <w:szCs w:val="30"/>
        </w:rPr>
        <w:t>2.施工结束，经验收合格，</w:t>
      </w:r>
      <w:r>
        <w:rPr>
          <w:rFonts w:hint="eastAsia" w:ascii="仿宋" w:hAnsi="仿宋" w:eastAsia="仿宋"/>
          <w:sz w:val="30"/>
          <w:szCs w:val="30"/>
          <w:lang w:val="en-US" w:eastAsia="zh-CN"/>
        </w:rPr>
        <w:t>3个月后</w:t>
      </w:r>
      <w:r>
        <w:rPr>
          <w:rFonts w:hint="eastAsia" w:ascii="仿宋" w:hAnsi="仿宋" w:eastAsia="仿宋"/>
          <w:sz w:val="30"/>
          <w:szCs w:val="30"/>
        </w:rPr>
        <w:t>付款。</w:t>
      </w:r>
    </w:p>
    <w:p w14:paraId="4CBF8CBE">
      <w:pPr>
        <w:spacing w:line="240" w:lineRule="auto"/>
        <w:ind w:firstLine="600" w:firstLineChars="200"/>
        <w:rPr>
          <w:rFonts w:ascii="仿宋" w:hAnsi="仿宋" w:eastAsia="仿宋"/>
          <w:sz w:val="30"/>
          <w:szCs w:val="30"/>
        </w:rPr>
      </w:pPr>
      <w:r>
        <w:rPr>
          <w:rFonts w:hint="eastAsia" w:ascii="仿宋" w:hAnsi="仿宋" w:eastAsia="仿宋"/>
          <w:sz w:val="30"/>
          <w:szCs w:val="30"/>
        </w:rPr>
        <w:t>3.</w:t>
      </w:r>
      <w:r>
        <w:rPr>
          <w:rFonts w:hint="eastAsia" w:ascii="仿宋" w:hAnsi="仿宋" w:eastAsia="仿宋"/>
          <w:sz w:val="30"/>
          <w:szCs w:val="30"/>
          <w:lang w:eastAsia="zh-CN"/>
        </w:rPr>
        <w:t>中标单位中标后因故不能完成或</w:t>
      </w:r>
      <w:r>
        <w:rPr>
          <w:rFonts w:hint="eastAsia" w:ascii="仿宋" w:hAnsi="仿宋" w:eastAsia="仿宋"/>
          <w:sz w:val="30"/>
          <w:szCs w:val="30"/>
        </w:rPr>
        <w:t>质保期内未能及时响应且给招标单位造成不良后果的将被列入黑名单，不再允许参加招标单位各类招标项目。</w:t>
      </w:r>
    </w:p>
    <w:p w14:paraId="42688BDB">
      <w:pPr>
        <w:spacing w:line="240" w:lineRule="auto"/>
        <w:ind w:firstLine="600" w:firstLineChars="200"/>
        <w:rPr>
          <w:rFonts w:ascii="仿宋" w:hAnsi="仿宋" w:eastAsia="仿宋"/>
          <w:sz w:val="30"/>
          <w:szCs w:val="30"/>
        </w:rPr>
      </w:pPr>
      <w:r>
        <w:rPr>
          <w:rFonts w:hint="eastAsia" w:ascii="黑体" w:hAnsi="黑体" w:eastAsia="黑体"/>
          <w:sz w:val="30"/>
          <w:szCs w:val="30"/>
        </w:rPr>
        <w:t>三、投标人资质要求</w:t>
      </w:r>
      <w:r>
        <w:rPr>
          <w:rFonts w:hint="eastAsia" w:ascii="仿宋" w:hAnsi="仿宋" w:eastAsia="仿宋"/>
          <w:sz w:val="30"/>
          <w:szCs w:val="30"/>
        </w:rPr>
        <w:t>：</w:t>
      </w:r>
    </w:p>
    <w:p w14:paraId="56A462C9">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1.持有效的营业执照，经营范围包含本项目的内容（做过类似项目的公司可优先考虑）;</w:t>
      </w:r>
    </w:p>
    <w:p w14:paraId="70B5CD36">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2.本项目不接受联合体投标，不得转包、分包；</w:t>
      </w:r>
    </w:p>
    <w:p w14:paraId="6CE18099">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3.法律、行政法规规定的其他条件。</w:t>
      </w:r>
    </w:p>
    <w:p w14:paraId="57729DB2">
      <w:pPr>
        <w:adjustRightInd w:val="0"/>
        <w:spacing w:line="480" w:lineRule="exact"/>
        <w:ind w:firstLine="602" w:firstLineChars="200"/>
        <w:jc w:val="left"/>
        <w:rPr>
          <w:rFonts w:ascii="仿宋" w:hAnsi="仿宋" w:eastAsia="仿宋"/>
          <w:color w:val="000000"/>
          <w:sz w:val="30"/>
          <w:szCs w:val="30"/>
        </w:rPr>
      </w:pPr>
      <w:r>
        <w:rPr>
          <w:rFonts w:hint="eastAsia" w:ascii="仿宋" w:hAnsi="仿宋" w:eastAsia="仿宋"/>
          <w:b/>
          <w:color w:val="000000"/>
          <w:sz w:val="30"/>
          <w:szCs w:val="30"/>
        </w:rPr>
        <w:t>四、资格审查方式及特殊情况说明：</w:t>
      </w:r>
    </w:p>
    <w:p w14:paraId="737CF45C">
      <w:pPr>
        <w:adjustRightInd w:val="0"/>
        <w:spacing w:line="50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本次采用资格后审方式。</w:t>
      </w:r>
    </w:p>
    <w:p w14:paraId="4597C62C">
      <w:pPr>
        <w:pStyle w:val="5"/>
        <w:shd w:val="clear" w:color="auto" w:fill="FFFFFF"/>
        <w:adjustRightInd w:val="0"/>
        <w:spacing w:before="0" w:beforeAutospacing="0" w:after="0" w:afterAutospacing="0" w:line="500" w:lineRule="exact"/>
        <w:ind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EBC1B51">
      <w:pPr>
        <w:pStyle w:val="5"/>
        <w:shd w:val="clear" w:color="auto" w:fill="FFFFFF"/>
        <w:adjustRightInd w:val="0"/>
        <w:spacing w:before="0" w:beforeAutospacing="0" w:after="0" w:afterAutospacing="0" w:line="500" w:lineRule="exact"/>
        <w:ind w:firstLine="600" w:firstLineChars="200"/>
        <w:jc w:val="both"/>
        <w:rPr>
          <w:rFonts w:ascii="仿宋" w:hAnsi="仿宋" w:eastAsia="仿宋"/>
          <w:sz w:val="30"/>
          <w:szCs w:val="30"/>
        </w:rPr>
      </w:pPr>
      <w:r>
        <w:rPr>
          <w:rFonts w:hint="eastAsia" w:ascii="仿宋" w:hAnsi="仿宋" w:eastAsia="仿宋"/>
          <w:sz w:val="30"/>
          <w:szCs w:val="30"/>
        </w:rPr>
        <w:t>2.满足询价文件实质性要求的单位数量仅有2家的，则现场转变采购方式，采用竞争性谈判的采购方式，确定中标单位。</w:t>
      </w:r>
    </w:p>
    <w:p w14:paraId="1BAD3D33">
      <w:pPr>
        <w:pStyle w:val="5"/>
        <w:shd w:val="clear" w:color="auto" w:fill="FFFFFF"/>
        <w:spacing w:before="0" w:beforeAutospacing="0" w:after="0" w:afterAutospacing="0" w:line="500" w:lineRule="exact"/>
        <w:ind w:firstLine="600" w:firstLineChars="200"/>
        <w:rPr>
          <w:rFonts w:ascii="仿宋" w:hAnsi="仿宋" w:eastAsia="仿宋"/>
          <w:sz w:val="30"/>
          <w:szCs w:val="30"/>
        </w:rPr>
      </w:pPr>
      <w:r>
        <w:rPr>
          <w:rFonts w:hint="eastAsia" w:ascii="仿宋" w:hAnsi="仿宋" w:eastAsia="仿宋"/>
          <w:sz w:val="30"/>
          <w:szCs w:val="30"/>
        </w:rPr>
        <w:t>3.满足询价文件实质性要求的单位数量仅有1家的，则现场转变采购方式，采用单一来源谈判的采购方式，确定中标单位。</w:t>
      </w:r>
    </w:p>
    <w:p w14:paraId="36A87307">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r>
        <w:rPr>
          <w:rFonts w:hint="eastAsia" w:ascii="仿宋" w:hAnsi="仿宋" w:eastAsia="仿宋"/>
          <w:b/>
          <w:color w:val="000000"/>
          <w:kern w:val="2"/>
          <w:sz w:val="30"/>
          <w:szCs w:val="30"/>
        </w:rPr>
        <w:t>五、项目控制价为</w:t>
      </w:r>
      <w:r>
        <w:rPr>
          <w:rFonts w:hint="eastAsia" w:ascii="仿宋" w:hAnsi="仿宋" w:eastAsia="仿宋"/>
          <w:b/>
          <w:color w:val="000000"/>
          <w:kern w:val="2"/>
          <w:sz w:val="30"/>
          <w:szCs w:val="30"/>
          <w:lang w:val="en-US" w:eastAsia="zh-CN"/>
        </w:rPr>
        <w:t>5500</w:t>
      </w:r>
      <w:r>
        <w:rPr>
          <w:rFonts w:hint="eastAsia" w:ascii="仿宋" w:hAnsi="仿宋" w:eastAsia="仿宋"/>
          <w:b/>
          <w:color w:val="000000"/>
          <w:kern w:val="2"/>
          <w:sz w:val="30"/>
          <w:szCs w:val="30"/>
        </w:rPr>
        <w:t>元，报价不得高于控制价。</w:t>
      </w:r>
    </w:p>
    <w:p w14:paraId="44149A6A">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p>
    <w:p w14:paraId="195A265B">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p>
    <w:p w14:paraId="61CE2151">
      <w:pPr>
        <w:adjustRightInd w:val="0"/>
        <w:spacing w:line="480" w:lineRule="exact"/>
        <w:jc w:val="left"/>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附：                  报价清单</w:t>
      </w:r>
    </w:p>
    <w:p w14:paraId="52BD5E1B">
      <w:pPr>
        <w:adjustRightInd w:val="0"/>
        <w:spacing w:line="480" w:lineRule="exact"/>
        <w:jc w:val="left"/>
        <w:rPr>
          <w:rFonts w:hint="eastAsia" w:ascii="仿宋" w:hAnsi="仿宋" w:eastAsia="仿宋"/>
          <w:b/>
          <w:bCs/>
          <w:sz w:val="32"/>
          <w:szCs w:val="32"/>
          <w:lang w:val="en-US" w:eastAsia="zh-CN"/>
        </w:rPr>
      </w:pPr>
    </w:p>
    <w:p w14:paraId="49962F69">
      <w:pPr>
        <w:adjustRightInd w:val="0"/>
        <w:spacing w:line="480" w:lineRule="exact"/>
        <w:jc w:val="left"/>
        <w:rPr>
          <w:rFonts w:hint="eastAsia" w:ascii="仿宋" w:hAnsi="仿宋" w:eastAsia="仿宋"/>
          <w:b/>
          <w:bCs/>
          <w:sz w:val="32"/>
          <w:szCs w:val="32"/>
          <w:lang w:val="en-US" w:eastAsia="zh-CN"/>
        </w:r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7"/>
        <w:gridCol w:w="761"/>
        <w:gridCol w:w="1260"/>
        <w:gridCol w:w="593"/>
        <w:gridCol w:w="469"/>
        <w:gridCol w:w="590"/>
        <w:gridCol w:w="591"/>
        <w:gridCol w:w="3821"/>
      </w:tblGrid>
      <w:tr w14:paraId="7C09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5000" w:type="pct"/>
            <w:gridSpan w:val="8"/>
            <w:tcBorders>
              <w:top w:val="nil"/>
              <w:left w:val="nil"/>
              <w:bottom w:val="nil"/>
              <w:right w:val="nil"/>
            </w:tcBorders>
            <w:shd w:val="clear" w:color="auto" w:fill="auto"/>
            <w:noWrap/>
            <w:vAlign w:val="center"/>
          </w:tcPr>
          <w:p w14:paraId="06BB4C35">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江滨医院中心实验室UPS设备报价清单</w:t>
            </w:r>
          </w:p>
        </w:tc>
      </w:tr>
      <w:tr w14:paraId="6758F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25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F19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739" w:type="pct"/>
            <w:tcBorders>
              <w:top w:val="single" w:color="000000" w:sz="4" w:space="0"/>
              <w:left w:val="single" w:color="000000" w:sz="4" w:space="0"/>
              <w:bottom w:val="nil"/>
              <w:right w:val="single" w:color="000000" w:sz="4" w:space="0"/>
            </w:tcBorders>
            <w:shd w:val="clear" w:color="auto" w:fill="auto"/>
            <w:noWrap/>
            <w:vAlign w:val="center"/>
          </w:tcPr>
          <w:p w14:paraId="47F379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品牌/规格</w:t>
            </w:r>
          </w:p>
        </w:tc>
        <w:tc>
          <w:tcPr>
            <w:tcW w:w="348" w:type="pct"/>
            <w:tcBorders>
              <w:top w:val="single" w:color="000000" w:sz="4" w:space="0"/>
              <w:left w:val="single" w:color="000000" w:sz="4" w:space="0"/>
              <w:bottom w:val="nil"/>
              <w:right w:val="single" w:color="000000" w:sz="4" w:space="0"/>
            </w:tcBorders>
            <w:shd w:val="clear" w:color="auto" w:fill="auto"/>
            <w:vAlign w:val="center"/>
          </w:tcPr>
          <w:p w14:paraId="10662F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275" w:type="pct"/>
            <w:tcBorders>
              <w:top w:val="single" w:color="000000" w:sz="4" w:space="0"/>
              <w:left w:val="single" w:color="000000" w:sz="4" w:space="0"/>
              <w:bottom w:val="nil"/>
              <w:right w:val="single" w:color="000000" w:sz="4" w:space="0"/>
            </w:tcBorders>
            <w:shd w:val="clear" w:color="auto" w:fill="auto"/>
            <w:vAlign w:val="center"/>
          </w:tcPr>
          <w:p w14:paraId="2D05A3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346" w:type="pct"/>
            <w:tcBorders>
              <w:top w:val="single" w:color="000000" w:sz="4" w:space="0"/>
              <w:left w:val="single" w:color="000000" w:sz="4" w:space="0"/>
              <w:bottom w:val="nil"/>
              <w:right w:val="single" w:color="000000" w:sz="4" w:space="0"/>
            </w:tcBorders>
            <w:shd w:val="clear" w:color="auto" w:fill="auto"/>
            <w:vAlign w:val="center"/>
          </w:tcPr>
          <w:p w14:paraId="0D33FC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347" w:type="pct"/>
            <w:tcBorders>
              <w:top w:val="single" w:color="000000" w:sz="4" w:space="0"/>
              <w:left w:val="single" w:color="000000" w:sz="4" w:space="0"/>
              <w:bottom w:val="nil"/>
              <w:right w:val="single" w:color="000000" w:sz="4" w:space="0"/>
            </w:tcBorders>
            <w:shd w:val="clear" w:color="auto" w:fill="auto"/>
            <w:vAlign w:val="center"/>
          </w:tcPr>
          <w:p w14:paraId="3EC682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w:t>
            </w:r>
          </w:p>
        </w:tc>
        <w:tc>
          <w:tcPr>
            <w:tcW w:w="2237" w:type="pct"/>
            <w:tcBorders>
              <w:top w:val="single" w:color="000000" w:sz="4" w:space="0"/>
              <w:left w:val="single" w:color="000000" w:sz="4" w:space="0"/>
              <w:bottom w:val="nil"/>
              <w:right w:val="single" w:color="000000" w:sz="4" w:space="0"/>
            </w:tcBorders>
            <w:shd w:val="clear" w:color="auto" w:fill="auto"/>
            <w:noWrap/>
            <w:vAlign w:val="center"/>
          </w:tcPr>
          <w:p w14:paraId="7C5B97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技术规格</w:t>
            </w:r>
          </w:p>
        </w:tc>
      </w:tr>
      <w:tr w14:paraId="0EF4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0" w:hRule="atLeast"/>
        </w:trPr>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3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14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6KVA不间断电源主机</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A1CFA">
            <w:pPr>
              <w:jc w:val="center"/>
              <w:rPr>
                <w:rFonts w:hint="eastAsia" w:ascii="宋体" w:hAnsi="宋体" w:eastAsia="宋体" w:cs="宋体"/>
                <w:i w:val="0"/>
                <w:iCs w:val="0"/>
                <w:color w:val="000000"/>
                <w:sz w:val="22"/>
                <w:szCs w:val="22"/>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C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8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693F">
            <w:pPr>
              <w:jc w:val="center"/>
              <w:rPr>
                <w:rFonts w:hint="eastAsia" w:ascii="宋体" w:hAnsi="宋体" w:eastAsia="宋体" w:cs="宋体"/>
                <w:i w:val="0"/>
                <w:iCs w:val="0"/>
                <w:color w:val="000000"/>
                <w:sz w:val="22"/>
                <w:szCs w:val="22"/>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E3B3">
            <w:pPr>
              <w:jc w:val="center"/>
              <w:rPr>
                <w:rFonts w:hint="eastAsia" w:ascii="宋体" w:hAnsi="宋体" w:eastAsia="宋体" w:cs="宋体"/>
                <w:i w:val="0"/>
                <w:iCs w:val="0"/>
                <w:color w:val="000000"/>
                <w:sz w:val="22"/>
                <w:szCs w:val="22"/>
                <w:u w:val="none"/>
              </w:rPr>
            </w:pPr>
          </w:p>
        </w:tc>
        <w:tc>
          <w:tcPr>
            <w:tcW w:w="2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28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容量 6KVA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电压范围 110- 300 VAC ± 5 %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频率范围 45Hz ~ 65 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输入功率因数 ≧ 0.99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输出电压 208/220/230/240VAC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市电电压范围 ±1% （电池模式）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频率范围 （同步范围） 47 ~ 53 Hz 或 57 ~ 63 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频率范围 （电池模式） 50 Hz ± 0.1 Hz 或 60Hz ± 0.1Hz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过载 110%: 30min；130%: 5min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电流峰值比 3:1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谐波失真 ≦ 3 % THD （线性负载）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电池型号 12V / 7Ah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电池数量 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充电电流 1A（标配）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充电电压 218.4 V</w:t>
            </w:r>
          </w:p>
        </w:tc>
      </w:tr>
    </w:tbl>
    <w:p w14:paraId="1660C473">
      <w:pPr>
        <w:adjustRightInd w:val="0"/>
        <w:spacing w:line="480" w:lineRule="exact"/>
        <w:jc w:val="left"/>
        <w:rPr>
          <w:rFonts w:hint="default" w:ascii="仿宋" w:hAnsi="仿宋" w:eastAsia="仿宋"/>
          <w:b/>
          <w:bCs/>
          <w:sz w:val="32"/>
          <w:szCs w:val="32"/>
          <w:lang w:val="en-US" w:eastAsia="zh-CN"/>
        </w:rPr>
      </w:pPr>
    </w:p>
    <w:p w14:paraId="335933F0">
      <w:pPr>
        <w:spacing w:line="240" w:lineRule="auto"/>
        <w:rPr>
          <w:rFonts w:hint="eastAsia" w:ascii="仿宋" w:hAnsi="仿宋" w:eastAsia="仿宋" w:cs="仿宋"/>
          <w:sz w:val="30"/>
          <w:szCs w:val="30"/>
          <w:highlight w:val="magenta"/>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DFmNjFlZGIyZDA0ZmU3MzZlOGM5OGM3NWEzMTgifQ=="/>
  </w:docVars>
  <w:rsids>
    <w:rsidRoot w:val="0031711A"/>
    <w:rsid w:val="000515FA"/>
    <w:rsid w:val="000620EC"/>
    <w:rsid w:val="000758B0"/>
    <w:rsid w:val="00122C46"/>
    <w:rsid w:val="00187E40"/>
    <w:rsid w:val="00217086"/>
    <w:rsid w:val="002B7183"/>
    <w:rsid w:val="002C154F"/>
    <w:rsid w:val="0031711A"/>
    <w:rsid w:val="00365FE6"/>
    <w:rsid w:val="00395F45"/>
    <w:rsid w:val="003B6AAE"/>
    <w:rsid w:val="004D1CA9"/>
    <w:rsid w:val="004F0D7C"/>
    <w:rsid w:val="005662E9"/>
    <w:rsid w:val="00575542"/>
    <w:rsid w:val="0058599D"/>
    <w:rsid w:val="00586D4A"/>
    <w:rsid w:val="00592BC5"/>
    <w:rsid w:val="005C748B"/>
    <w:rsid w:val="006A6780"/>
    <w:rsid w:val="006B3E13"/>
    <w:rsid w:val="00726112"/>
    <w:rsid w:val="007604DF"/>
    <w:rsid w:val="00764063"/>
    <w:rsid w:val="007C48A3"/>
    <w:rsid w:val="00853282"/>
    <w:rsid w:val="00881874"/>
    <w:rsid w:val="008E46E0"/>
    <w:rsid w:val="009322F1"/>
    <w:rsid w:val="00994A71"/>
    <w:rsid w:val="009A2C33"/>
    <w:rsid w:val="009C4D5D"/>
    <w:rsid w:val="009D102C"/>
    <w:rsid w:val="00A03209"/>
    <w:rsid w:val="00A31BF8"/>
    <w:rsid w:val="00A517E8"/>
    <w:rsid w:val="00A627AE"/>
    <w:rsid w:val="00B424F1"/>
    <w:rsid w:val="00B66E34"/>
    <w:rsid w:val="00B94145"/>
    <w:rsid w:val="00BB6BF5"/>
    <w:rsid w:val="00BE1956"/>
    <w:rsid w:val="00BF39E4"/>
    <w:rsid w:val="00C230B2"/>
    <w:rsid w:val="00C82A33"/>
    <w:rsid w:val="00C92B37"/>
    <w:rsid w:val="00CE2025"/>
    <w:rsid w:val="00D67147"/>
    <w:rsid w:val="00D6775E"/>
    <w:rsid w:val="00DB1355"/>
    <w:rsid w:val="00DC5BC7"/>
    <w:rsid w:val="00DD7ECF"/>
    <w:rsid w:val="00E8391C"/>
    <w:rsid w:val="00E928C7"/>
    <w:rsid w:val="00F05153"/>
    <w:rsid w:val="00F55C88"/>
    <w:rsid w:val="00F91C75"/>
    <w:rsid w:val="00FB295B"/>
    <w:rsid w:val="00FE74EC"/>
    <w:rsid w:val="01002534"/>
    <w:rsid w:val="01B1298B"/>
    <w:rsid w:val="020C6384"/>
    <w:rsid w:val="02944B48"/>
    <w:rsid w:val="03EB4716"/>
    <w:rsid w:val="06E32B73"/>
    <w:rsid w:val="0ABD5BA0"/>
    <w:rsid w:val="0CA131CD"/>
    <w:rsid w:val="0F413746"/>
    <w:rsid w:val="0FA80C02"/>
    <w:rsid w:val="10447B5F"/>
    <w:rsid w:val="11E91552"/>
    <w:rsid w:val="1407008B"/>
    <w:rsid w:val="17B92F10"/>
    <w:rsid w:val="19EA4802"/>
    <w:rsid w:val="1A436089"/>
    <w:rsid w:val="1A6A40BF"/>
    <w:rsid w:val="1D7E47CC"/>
    <w:rsid w:val="1EE92A08"/>
    <w:rsid w:val="21294361"/>
    <w:rsid w:val="21BD09EA"/>
    <w:rsid w:val="24877D1C"/>
    <w:rsid w:val="250471D3"/>
    <w:rsid w:val="261F562C"/>
    <w:rsid w:val="268E37D0"/>
    <w:rsid w:val="268E7F4D"/>
    <w:rsid w:val="2927562A"/>
    <w:rsid w:val="2A284628"/>
    <w:rsid w:val="2A61691A"/>
    <w:rsid w:val="2C5E172E"/>
    <w:rsid w:val="2DB97E61"/>
    <w:rsid w:val="2DD56FC0"/>
    <w:rsid w:val="2FC736C3"/>
    <w:rsid w:val="302F00B3"/>
    <w:rsid w:val="33B06877"/>
    <w:rsid w:val="33D62F2A"/>
    <w:rsid w:val="33D91C17"/>
    <w:rsid w:val="34463BE0"/>
    <w:rsid w:val="383E1A38"/>
    <w:rsid w:val="38807B07"/>
    <w:rsid w:val="389F10A1"/>
    <w:rsid w:val="38F018EE"/>
    <w:rsid w:val="396D003B"/>
    <w:rsid w:val="3B4535CA"/>
    <w:rsid w:val="3C28163E"/>
    <w:rsid w:val="40217FC5"/>
    <w:rsid w:val="446D2B52"/>
    <w:rsid w:val="478823C0"/>
    <w:rsid w:val="47D37BB9"/>
    <w:rsid w:val="495C4EE9"/>
    <w:rsid w:val="4B105AC6"/>
    <w:rsid w:val="4B4F092F"/>
    <w:rsid w:val="4BFB3039"/>
    <w:rsid w:val="4C801CA0"/>
    <w:rsid w:val="4D624D84"/>
    <w:rsid w:val="50914CAD"/>
    <w:rsid w:val="52445818"/>
    <w:rsid w:val="54574A59"/>
    <w:rsid w:val="559D5D6A"/>
    <w:rsid w:val="57C97540"/>
    <w:rsid w:val="57FA7A08"/>
    <w:rsid w:val="5A1E41A4"/>
    <w:rsid w:val="5AC1633C"/>
    <w:rsid w:val="5BB45DCE"/>
    <w:rsid w:val="5C8358F4"/>
    <w:rsid w:val="5DFB43B4"/>
    <w:rsid w:val="5E417DB0"/>
    <w:rsid w:val="5F2B74DB"/>
    <w:rsid w:val="5F4E5B29"/>
    <w:rsid w:val="611C52EF"/>
    <w:rsid w:val="644B741C"/>
    <w:rsid w:val="64E87C67"/>
    <w:rsid w:val="65385D05"/>
    <w:rsid w:val="67D01153"/>
    <w:rsid w:val="69F03EBF"/>
    <w:rsid w:val="6D0D7C60"/>
    <w:rsid w:val="6D6C185A"/>
    <w:rsid w:val="6E557E91"/>
    <w:rsid w:val="6F532332"/>
    <w:rsid w:val="6F9A0A9E"/>
    <w:rsid w:val="71180999"/>
    <w:rsid w:val="72694E43"/>
    <w:rsid w:val="73BD0A2D"/>
    <w:rsid w:val="7A6D2B36"/>
    <w:rsid w:val="7C3D2E30"/>
    <w:rsid w:val="7C5155E2"/>
    <w:rsid w:val="7D736EF5"/>
    <w:rsid w:val="7E026C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6" w:lineRule="atLeast"/>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 w:type="character" w:customStyle="1" w:styleId="10">
    <w:name w:val="批注框文本 Char"/>
    <w:basedOn w:val="8"/>
    <w:link w:val="2"/>
    <w:semiHidden/>
    <w:qFormat/>
    <w:uiPriority w:val="99"/>
    <w:rPr>
      <w:sz w:val="18"/>
      <w:szCs w:val="18"/>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 w:type="character" w:customStyle="1" w:styleId="13">
    <w:name w:val="font21"/>
    <w:basedOn w:val="8"/>
    <w:qFormat/>
    <w:uiPriority w:val="0"/>
    <w:rPr>
      <w:rFonts w:hint="eastAsia" w:ascii="仿宋" w:hAnsi="仿宋" w:eastAsia="仿宋" w:cs="仿宋"/>
      <w:color w:val="000000"/>
      <w:sz w:val="24"/>
      <w:szCs w:val="24"/>
      <w:u w:val="none"/>
    </w:rPr>
  </w:style>
  <w:style w:type="character" w:customStyle="1" w:styleId="14">
    <w:name w:val="font31"/>
    <w:basedOn w:val="8"/>
    <w:qFormat/>
    <w:uiPriority w:val="0"/>
    <w:rPr>
      <w:rFonts w:hint="eastAsia" w:ascii="宋体" w:hAnsi="宋体" w:eastAsia="宋体" w:cs="宋体"/>
      <w:color w:val="000000"/>
      <w:sz w:val="24"/>
      <w:szCs w:val="24"/>
      <w:u w:val="none"/>
    </w:rPr>
  </w:style>
  <w:style w:type="character" w:customStyle="1" w:styleId="15">
    <w:name w:val="font11"/>
    <w:basedOn w:val="8"/>
    <w:qFormat/>
    <w:uiPriority w:val="0"/>
    <w:rPr>
      <w:rFonts w:hint="eastAsia" w:ascii="黑体" w:hAnsi="宋体" w:eastAsia="黑体" w:cs="黑体"/>
      <w:color w:val="000000"/>
      <w:sz w:val="40"/>
      <w:szCs w:val="40"/>
      <w:u w:val="none"/>
    </w:rPr>
  </w:style>
  <w:style w:type="character" w:customStyle="1" w:styleId="16">
    <w:name w:val="font81"/>
    <w:basedOn w:val="8"/>
    <w:qFormat/>
    <w:uiPriority w:val="0"/>
    <w:rPr>
      <w:rFonts w:hint="eastAsia" w:ascii="黑体" w:hAnsi="宋体" w:eastAsia="黑体" w:cs="黑体"/>
      <w:color w:val="000000"/>
      <w:sz w:val="22"/>
      <w:szCs w:val="22"/>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61"/>
    <w:basedOn w:val="8"/>
    <w:qFormat/>
    <w:uiPriority w:val="0"/>
    <w:rPr>
      <w:rFonts w:hint="eastAsia" w:ascii="宋体" w:hAnsi="宋体" w:eastAsia="宋体" w:cs="宋体"/>
      <w:b/>
      <w:bCs/>
      <w:color w:val="000000"/>
      <w:sz w:val="20"/>
      <w:szCs w:val="20"/>
      <w:u w:val="none"/>
    </w:rPr>
  </w:style>
  <w:style w:type="character" w:customStyle="1" w:styleId="19">
    <w:name w:val="font71"/>
    <w:basedOn w:val="8"/>
    <w:qFormat/>
    <w:uiPriority w:val="0"/>
    <w:rPr>
      <w:rFonts w:hint="eastAsia" w:ascii="宋体" w:hAnsi="宋体" w:eastAsia="宋体" w:cs="宋体"/>
      <w:color w:val="000000"/>
      <w:sz w:val="21"/>
      <w:szCs w:val="21"/>
      <w:u w:val="none"/>
    </w:rPr>
  </w:style>
  <w:style w:type="character" w:customStyle="1" w:styleId="20">
    <w:name w:val="font51"/>
    <w:basedOn w:val="8"/>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1010</Words>
  <Characters>1143</Characters>
  <Lines>8</Lines>
  <Paragraphs>2</Paragraphs>
  <TotalTime>43</TotalTime>
  <ScaleCrop>false</ScaleCrop>
  <LinksUpToDate>false</LinksUpToDate>
  <CharactersWithSpaces>1215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2023-05-09T02:20:00Z</dcterms:created>
  <dc:creator>b a</dc:creator>
  <cp:lastModifiedBy>完定福</cp:lastModifiedBy>
  <cp:lastPrinted>2026-08-07T06:30:49Z</cp:lastPrinted>
  <dcterms:modified xsi:type="dcterms:W3CDTF">2026-08-07T06:30:56Z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1911B9EBEB9942849D35DB9BC4B64EF6_13</vt:lpwstr>
  </property>
  <property fmtid="{D5CDD505-2E9C-101B-9397-08002B2CF9AE}" pid="4" name="KSOTemplateDocerSaveRecord">
    <vt:lpwstr>eyJoZGlkIjoiNzdlMDVkNDYwYmZkNTE5NGQ0ZTdiYzI2ZDFhMjhiMWQiLCJ1c2VySWQiOiI4MDQyODQ1MTkifQ==</vt:lpwstr>
  </property>
</Properties>
</file>