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7709E">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仿宋" w:eastAsia="方正小标宋简体" w:cstheme="minorBidi"/>
          <w:sz w:val="44"/>
          <w:szCs w:val="44"/>
        </w:rPr>
      </w:pPr>
      <w:r>
        <w:rPr>
          <w:rFonts w:hint="eastAsia" w:ascii="方正小标宋简体" w:hAnsi="仿宋" w:eastAsia="方正小标宋简体" w:cstheme="minorBidi"/>
          <w:sz w:val="44"/>
          <w:szCs w:val="44"/>
        </w:rPr>
        <w:t>江苏大学附属医院</w:t>
      </w:r>
      <w:r>
        <w:rPr>
          <w:rFonts w:hint="eastAsia" w:ascii="方正小标宋简体" w:hAnsi="仿宋" w:eastAsia="方正小标宋简体" w:cstheme="minorBidi"/>
          <w:sz w:val="44"/>
          <w:szCs w:val="44"/>
          <w:lang w:val="en-US" w:eastAsia="zh-CN"/>
        </w:rPr>
        <w:t>图书馆增加消防管</w:t>
      </w:r>
      <w:r>
        <w:rPr>
          <w:rFonts w:hint="eastAsia" w:ascii="方正小标宋简体" w:hAnsi="仿宋" w:eastAsia="方正小标宋简体" w:cstheme="minorBidi"/>
          <w:sz w:val="44"/>
          <w:szCs w:val="44"/>
        </w:rPr>
        <w:t>比价方案</w:t>
      </w:r>
    </w:p>
    <w:p w14:paraId="0BCBE408">
      <w:pPr>
        <w:adjustRightInd w:val="0"/>
        <w:ind w:firstLine="600" w:firstLineChars="200"/>
        <w:rPr>
          <w:rFonts w:hint="eastAsia" w:ascii="仿宋" w:hAnsi="仿宋" w:eastAsia="仿宋"/>
          <w:sz w:val="30"/>
          <w:szCs w:val="30"/>
        </w:rPr>
      </w:pPr>
      <w:r>
        <w:rPr>
          <w:rFonts w:hint="eastAsia" w:ascii="仿宋" w:hAnsi="仿宋" w:eastAsia="仿宋"/>
          <w:sz w:val="30"/>
          <w:szCs w:val="30"/>
          <w:highlight w:val="none"/>
        </w:rPr>
        <w:t>江苏大学附属医院</w:t>
      </w:r>
      <w:r>
        <w:rPr>
          <w:rFonts w:hint="eastAsia" w:ascii="仿宋" w:hAnsi="仿宋" w:eastAsia="仿宋"/>
          <w:sz w:val="30"/>
          <w:szCs w:val="30"/>
          <w:highlight w:val="none"/>
          <w:lang w:val="en-US" w:eastAsia="zh-CN"/>
        </w:rPr>
        <w:t>图书馆增加消防管</w:t>
      </w:r>
      <w:r>
        <w:rPr>
          <w:rFonts w:hint="eastAsia" w:ascii="仿宋" w:hAnsi="仿宋" w:eastAsia="仿宋"/>
          <w:sz w:val="30"/>
          <w:szCs w:val="30"/>
          <w:highlight w:val="none"/>
        </w:rPr>
        <w:t>比价方案具体</w:t>
      </w:r>
      <w:r>
        <w:rPr>
          <w:rFonts w:hint="eastAsia" w:ascii="仿宋" w:hAnsi="仿宋" w:eastAsia="仿宋"/>
          <w:sz w:val="30"/>
          <w:szCs w:val="30"/>
        </w:rPr>
        <w:t>要求如下：</w:t>
      </w:r>
    </w:p>
    <w:p w14:paraId="0998FBFF">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320166E3">
      <w:pPr>
        <w:adjustRightInd w:val="0"/>
        <w:ind w:firstLine="600" w:firstLineChars="200"/>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为配合图书馆（科研楼）整体规划及4层GCP改造项目，避免二次拆除吊顶，现增加1-6层消防立管，完善整体消防系统。消防报警等通过管道井桥架接到1楼，配合院内改造项目接至</w:t>
      </w:r>
      <w:bookmarkStart w:id="0" w:name="_GoBack"/>
      <w:bookmarkEnd w:id="0"/>
      <w:r>
        <w:rPr>
          <w:rFonts w:hint="eastAsia" w:ascii="仿宋" w:hAnsi="仿宋" w:eastAsia="仿宋"/>
          <w:sz w:val="30"/>
          <w:szCs w:val="30"/>
          <w:lang w:val="en-US" w:eastAsia="zh-CN"/>
        </w:rPr>
        <w:t>外科楼消控室。消防主管从西北角6楼放至1楼，留弯头至一楼。联系人勘察现场，联系电话：0511-85026733。</w:t>
      </w:r>
    </w:p>
    <w:p w14:paraId="7F337F8F">
      <w:pPr>
        <w:adjustRightInd w:val="0"/>
        <w:ind w:firstLine="600" w:firstLineChars="200"/>
        <w:rPr>
          <w:rFonts w:hint="eastAsia" w:ascii="仿宋" w:hAnsi="仿宋" w:eastAsia="仿宋" w:cs="宋体"/>
          <w:kern w:val="0"/>
          <w:sz w:val="30"/>
          <w:szCs w:val="30"/>
        </w:rPr>
      </w:pPr>
      <w:r>
        <w:rPr>
          <w:rFonts w:hint="eastAsia" w:ascii="仿宋" w:hAnsi="仿宋" w:eastAsia="仿宋"/>
          <w:sz w:val="30"/>
          <w:szCs w:val="30"/>
          <w:lang w:val="en-US" w:eastAsia="zh-CN"/>
        </w:rPr>
        <w:t>2.</w:t>
      </w:r>
      <w:r>
        <w:rPr>
          <w:rFonts w:hint="eastAsia" w:ascii="仿宋" w:hAnsi="仿宋" w:eastAsia="仿宋" w:cs="宋体"/>
          <w:kern w:val="0"/>
          <w:sz w:val="30"/>
          <w:szCs w:val="30"/>
          <w:lang w:val="en-US" w:eastAsia="zh-CN"/>
        </w:rPr>
        <w:t>施工方案由施工单位自拟，确保维修质量和施工安全</w:t>
      </w:r>
      <w:r>
        <w:rPr>
          <w:rFonts w:hint="eastAsia" w:ascii="仿宋" w:hAnsi="仿宋" w:eastAsia="仿宋" w:cs="宋体"/>
          <w:kern w:val="0"/>
          <w:sz w:val="30"/>
          <w:szCs w:val="30"/>
        </w:rPr>
        <w:t>。接到中标通知后，工期</w:t>
      </w:r>
      <w:r>
        <w:rPr>
          <w:rFonts w:hint="eastAsia" w:ascii="仿宋" w:hAnsi="仿宋" w:eastAsia="仿宋" w:cs="宋体"/>
          <w:kern w:val="0"/>
          <w:sz w:val="30"/>
          <w:szCs w:val="30"/>
          <w:lang w:val="en-US" w:eastAsia="zh-CN"/>
        </w:rPr>
        <w:t>7</w:t>
      </w:r>
      <w:r>
        <w:rPr>
          <w:rFonts w:hint="eastAsia" w:ascii="仿宋" w:hAnsi="仿宋" w:eastAsia="仿宋" w:cs="宋体"/>
          <w:kern w:val="0"/>
          <w:sz w:val="30"/>
          <w:szCs w:val="30"/>
        </w:rPr>
        <w:t>天</w:t>
      </w:r>
      <w:r>
        <w:rPr>
          <w:rFonts w:hint="eastAsia" w:ascii="仿宋" w:hAnsi="仿宋" w:eastAsia="仿宋" w:cs="宋体"/>
          <w:kern w:val="0"/>
          <w:sz w:val="30"/>
          <w:szCs w:val="30"/>
          <w:lang w:val="en-US" w:eastAsia="zh-CN"/>
        </w:rPr>
        <w:t>内完成维修</w:t>
      </w:r>
      <w:r>
        <w:rPr>
          <w:rFonts w:hint="eastAsia" w:ascii="仿宋" w:hAnsi="仿宋" w:eastAsia="仿宋" w:cs="宋体"/>
          <w:kern w:val="0"/>
          <w:sz w:val="30"/>
          <w:szCs w:val="30"/>
        </w:rPr>
        <w:t>。</w:t>
      </w:r>
    </w:p>
    <w:p w14:paraId="4D9B09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3.质保期：</w:t>
      </w:r>
      <w:r>
        <w:rPr>
          <w:rFonts w:hint="eastAsia" w:ascii="仿宋" w:hAnsi="仿宋" w:eastAsia="仿宋" w:cs="宋体"/>
          <w:kern w:val="0"/>
          <w:sz w:val="30"/>
          <w:szCs w:val="30"/>
        </w:rPr>
        <w:t>本项目质保期为两年（自验收合格之日起计），质保期内若出现非人为因素损坏，施工单位负责进行维修。</w:t>
      </w:r>
    </w:p>
    <w:p w14:paraId="0F2FD822">
      <w:pPr>
        <w:adjustRightInd w:val="0"/>
        <w:ind w:firstLine="600" w:firstLineChars="200"/>
        <w:rPr>
          <w:rFonts w:hint="eastAsia"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4.施工过程中不得损坏任何设备，不得影响科室正常工作，尽可能减少噪音，垃圾人工清理外运。施工期间安全责任由中标单位自行负责,发生任何安全事故与招标单位无关。</w:t>
      </w:r>
    </w:p>
    <w:p w14:paraId="7E92ACAC">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费用结算：按行业规程验收</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经验收合格，三个月后一次性付款。</w:t>
      </w:r>
    </w:p>
    <w:p w14:paraId="19861A87">
      <w:pPr>
        <w:adjustRightInd w:val="0"/>
        <w:spacing w:line="480" w:lineRule="exact"/>
        <w:ind w:firstLine="562"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5F9DDB55">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rPr>
        <w:t>采用现场比价排序方式，一轮报价，各报价单位须提</w:t>
      </w:r>
      <w:r>
        <w:rPr>
          <w:rFonts w:hint="eastAsia" w:ascii="仿宋" w:hAnsi="仿宋" w:eastAsia="仿宋" w:cs="宋体"/>
          <w:kern w:val="0"/>
          <w:sz w:val="30"/>
          <w:szCs w:val="30"/>
          <w:lang w:val="en-US" w:eastAsia="zh-CN"/>
        </w:rPr>
        <w:t>前</w:t>
      </w:r>
      <w:r>
        <w:rPr>
          <w:rFonts w:hint="eastAsia" w:ascii="仿宋" w:hAnsi="仿宋" w:eastAsia="仿宋" w:cs="宋体"/>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用文件袋密封包装送至指定地点。</w:t>
      </w:r>
    </w:p>
    <w:p w14:paraId="515D9190">
      <w:pPr>
        <w:adjustRightInd w:val="0"/>
        <w:spacing w:line="480" w:lineRule="exact"/>
        <w:ind w:firstLine="643" w:firstLineChars="200"/>
        <w:jc w:val="left"/>
        <w:rPr>
          <w:rFonts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0685CA7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持有效的营业执照，经营范围包含本项目的内容；</w:t>
      </w:r>
    </w:p>
    <w:p w14:paraId="6E1433B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.法律、行政法规规定的其他条件；</w:t>
      </w:r>
    </w:p>
    <w:p w14:paraId="796A8E4C">
      <w:pPr>
        <w:pStyle w:val="5"/>
        <w:shd w:val="clear" w:color="auto" w:fill="FFFFFF"/>
        <w:adjustRightInd w:val="0"/>
        <w:spacing w:before="0" w:beforeAutospacing="0" w:after="0" w:afterAutospacing="0"/>
        <w:ind w:left="0" w:firstLine="600" w:firstLineChars="200"/>
        <w:jc w:val="both"/>
        <w:rPr>
          <w:rFonts w:hint="default" w:ascii="仿宋" w:hAnsi="仿宋" w:eastAsia="仿宋"/>
          <w:sz w:val="30"/>
          <w:szCs w:val="30"/>
          <w:lang w:val="en-US" w:eastAsia="zh-CN"/>
        </w:rPr>
      </w:pPr>
      <w:r>
        <w:rPr>
          <w:rFonts w:hint="eastAsia" w:ascii="仿宋" w:hAnsi="仿宋" w:eastAsia="仿宋"/>
          <w:sz w:val="30"/>
          <w:szCs w:val="30"/>
          <w:lang w:val="en-US" w:eastAsia="zh-CN"/>
        </w:rPr>
        <w:t>3</w:t>
      </w:r>
      <w:r>
        <w:rPr>
          <w:rFonts w:hint="eastAsia" w:ascii="仿宋" w:hAnsi="仿宋" w:eastAsia="仿宋"/>
          <w:sz w:val="30"/>
          <w:szCs w:val="30"/>
        </w:rPr>
        <w:t>.本项目不接受联合体投标，不得转包、分包。</w:t>
      </w:r>
    </w:p>
    <w:p w14:paraId="45110EA3">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49AB21AC">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lang w:val="en-US" w:eastAsia="zh-CN"/>
        </w:rPr>
        <w:t>本次采用资格后审方式。</w:t>
      </w:r>
    </w:p>
    <w:p w14:paraId="7455B7E9">
      <w:pPr>
        <w:pStyle w:val="5"/>
        <w:shd w:val="clear" w:color="auto" w:fill="FFFFFF"/>
        <w:adjustRightInd w:val="0"/>
        <w:spacing w:before="0" w:beforeAutospacing="0" w:after="0" w:afterAutospacing="0"/>
        <w:ind w:left="0"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5ABFAFF">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1184F34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4B199FBC">
      <w:pPr>
        <w:keepNext w:val="0"/>
        <w:keepLines w:val="0"/>
        <w:pageBreakBefore w:val="0"/>
        <w:widowControl w:val="0"/>
        <w:kinsoku/>
        <w:wordWrap/>
        <w:overflowPunct/>
        <w:topLinePunct w:val="0"/>
        <w:autoSpaceDE/>
        <w:autoSpaceDN/>
        <w:bidi w:val="0"/>
        <w:adjustRightInd w:val="0"/>
        <w:snapToGrid/>
        <w:spacing w:line="520" w:lineRule="exact"/>
        <w:ind w:firstLine="643" w:firstLineChars="200"/>
        <w:jc w:val="left"/>
        <w:textAlignment w:val="auto"/>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五、</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30000</w:t>
      </w:r>
      <w:r>
        <w:rPr>
          <w:rFonts w:hint="eastAsia" w:ascii="仿宋" w:hAnsi="仿宋" w:eastAsia="仿宋"/>
          <w:b/>
          <w:color w:val="000000" w:themeColor="text1"/>
          <w:sz w:val="30"/>
          <w:szCs w:val="30"/>
          <w14:textFill>
            <w14:solidFill>
              <w14:schemeClr w14:val="tx1"/>
            </w14:solidFill>
          </w14:textFill>
        </w:rPr>
        <w:t>元，报价不得高于控制价</w:t>
      </w:r>
      <w:r>
        <w:rPr>
          <w:rFonts w:hint="eastAsia" w:ascii="仿宋" w:hAnsi="仿宋" w:eastAsia="仿宋"/>
          <w:b/>
          <w:color w:val="000000" w:themeColor="text1"/>
          <w:sz w:val="30"/>
          <w:szCs w:val="30"/>
          <w:lang w:eastAsia="zh-CN"/>
          <w14:textFill>
            <w14:solidFill>
              <w14:schemeClr w14:val="tx1"/>
            </w14:solidFill>
          </w14:textFill>
        </w:rPr>
        <w:t>。</w:t>
      </w:r>
    </w:p>
    <w:p w14:paraId="18B149EB">
      <w:pPr>
        <w:pStyle w:val="5"/>
        <w:shd w:val="clear" w:color="auto" w:fill="FFFFFF"/>
        <w:adjustRightInd w:val="0"/>
        <w:spacing w:before="0" w:beforeAutospacing="0" w:after="0" w:afterAutospacing="0"/>
        <w:ind w:left="0" w:firstLine="600" w:firstLineChars="200"/>
        <w:jc w:val="both"/>
        <w:rPr>
          <w:rFonts w:hint="eastAsia" w:ascii="仿宋" w:hAnsi="仿宋" w:eastAsia="仿宋"/>
          <w:b/>
          <w:color w:val="000000" w:themeColor="text1"/>
          <w:sz w:val="30"/>
          <w:szCs w:val="30"/>
          <w14:textFill>
            <w14:solidFill>
              <w14:schemeClr w14:val="tx1"/>
            </w14:solidFill>
          </w14:textFill>
        </w:rPr>
      </w:pPr>
      <w:r>
        <w:rPr>
          <w:rFonts w:hint="eastAsia" w:ascii="仿宋" w:hAnsi="仿宋" w:eastAsia="仿宋"/>
          <w:sz w:val="30"/>
          <w:szCs w:val="30"/>
        </w:rPr>
        <w:t>该项目报价为一揽子包死，交钥匙工程。</w:t>
      </w:r>
    </w:p>
    <w:p w14:paraId="1C0840D1">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p>
    <w:p w14:paraId="05465E44">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p>
    <w:p w14:paraId="4CFEEF77">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p>
    <w:p w14:paraId="73448CD3">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p>
    <w:p w14:paraId="5B5C5E3F">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p>
    <w:p w14:paraId="378435DB">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p>
    <w:p w14:paraId="4DDB8A30">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p>
    <w:p w14:paraId="48D623FB">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p>
    <w:p w14:paraId="5ABA13AC">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p>
    <w:p w14:paraId="6BC210D4">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r>
        <w:rPr>
          <w:rFonts w:hint="eastAsia" w:ascii="仿宋" w:hAnsi="仿宋" w:eastAsia="仿宋"/>
          <w:b/>
          <w:color w:val="000000" w:themeColor="text1"/>
          <w:sz w:val="30"/>
          <w:szCs w:val="30"/>
          <w:lang w:val="en-US" w:eastAsia="zh-CN"/>
          <w14:textFill>
            <w14:solidFill>
              <w14:schemeClr w14:val="tx1"/>
            </w14:solidFill>
          </w14:textFill>
        </w:rPr>
        <w:t>附：工作量清单</w:t>
      </w:r>
    </w:p>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96"/>
        <w:gridCol w:w="1907"/>
        <w:gridCol w:w="1348"/>
        <w:gridCol w:w="1532"/>
        <w:gridCol w:w="1835"/>
        <w:gridCol w:w="1201"/>
      </w:tblGrid>
      <w:tr w14:paraId="4E8AD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noWrap/>
            <w:vAlign w:val="center"/>
          </w:tcPr>
          <w:p w14:paraId="434B69FB">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bdr w:val="none" w:color="auto" w:sz="0" w:space="0"/>
                <w:lang w:val="en-US" w:eastAsia="zh-CN" w:bidi="ar"/>
              </w:rPr>
            </w:pPr>
            <w:r>
              <w:rPr>
                <w:rFonts w:hint="eastAsia" w:ascii="仿宋" w:hAnsi="仿宋" w:eastAsia="仿宋" w:cs="仿宋"/>
                <w:i w:val="0"/>
                <w:iCs w:val="0"/>
                <w:color w:val="000000"/>
                <w:kern w:val="0"/>
                <w:sz w:val="24"/>
                <w:szCs w:val="24"/>
                <w:u w:val="none"/>
                <w:bdr w:val="none" w:color="auto" w:sz="0" w:space="0"/>
                <w:lang w:val="en-US" w:eastAsia="zh-CN" w:bidi="ar"/>
              </w:rPr>
              <w:t>图书馆增加消防管</w:t>
            </w:r>
          </w:p>
        </w:tc>
      </w:tr>
      <w:tr w14:paraId="59450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08" w:type="pct"/>
            <w:tcBorders>
              <w:top w:val="single" w:color="000000" w:sz="4" w:space="0"/>
              <w:left w:val="single" w:color="000000" w:sz="4" w:space="0"/>
              <w:bottom w:val="single" w:color="000000" w:sz="4" w:space="0"/>
              <w:right w:val="single" w:color="000000" w:sz="4" w:space="0"/>
            </w:tcBorders>
            <w:shd w:val="clear"/>
            <w:noWrap/>
            <w:vAlign w:val="center"/>
          </w:tcPr>
          <w:p w14:paraId="0A7287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序号</w:t>
            </w:r>
          </w:p>
        </w:tc>
        <w:tc>
          <w:tcPr>
            <w:tcW w:w="1120" w:type="pct"/>
            <w:tcBorders>
              <w:top w:val="single" w:color="000000" w:sz="4" w:space="0"/>
              <w:left w:val="single" w:color="000000" w:sz="4" w:space="0"/>
              <w:bottom w:val="single" w:color="000000" w:sz="4" w:space="0"/>
              <w:right w:val="single" w:color="000000" w:sz="4" w:space="0"/>
            </w:tcBorders>
            <w:shd w:val="clear"/>
            <w:noWrap/>
            <w:vAlign w:val="center"/>
          </w:tcPr>
          <w:p w14:paraId="68A976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项目名称</w:t>
            </w:r>
          </w:p>
        </w:tc>
        <w:tc>
          <w:tcPr>
            <w:tcW w:w="791" w:type="pct"/>
            <w:tcBorders>
              <w:top w:val="single" w:color="000000" w:sz="4" w:space="0"/>
              <w:left w:val="single" w:color="000000" w:sz="4" w:space="0"/>
              <w:bottom w:val="single" w:color="000000" w:sz="4" w:space="0"/>
              <w:right w:val="single" w:color="000000" w:sz="4" w:space="0"/>
            </w:tcBorders>
            <w:shd w:val="clear"/>
            <w:noWrap/>
            <w:vAlign w:val="center"/>
          </w:tcPr>
          <w:p w14:paraId="5753C5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计量单位</w:t>
            </w:r>
          </w:p>
        </w:tc>
        <w:tc>
          <w:tcPr>
            <w:tcW w:w="899" w:type="pct"/>
            <w:tcBorders>
              <w:top w:val="single" w:color="000000" w:sz="4" w:space="0"/>
              <w:left w:val="single" w:color="000000" w:sz="4" w:space="0"/>
              <w:bottom w:val="single" w:color="000000" w:sz="4" w:space="0"/>
              <w:right w:val="single" w:color="000000" w:sz="4" w:space="0"/>
            </w:tcBorders>
            <w:shd w:val="clear"/>
            <w:noWrap/>
            <w:vAlign w:val="center"/>
          </w:tcPr>
          <w:p w14:paraId="752424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数量</w:t>
            </w:r>
          </w:p>
        </w:tc>
        <w:tc>
          <w:tcPr>
            <w:tcW w:w="1077" w:type="pct"/>
            <w:tcBorders>
              <w:top w:val="single" w:color="000000" w:sz="4" w:space="0"/>
              <w:left w:val="single" w:color="000000" w:sz="4" w:space="0"/>
              <w:bottom w:val="single" w:color="000000" w:sz="4" w:space="0"/>
              <w:right w:val="single" w:color="000000" w:sz="4" w:space="0"/>
            </w:tcBorders>
            <w:shd w:val="clear"/>
            <w:noWrap/>
            <w:vAlign w:val="center"/>
          </w:tcPr>
          <w:p w14:paraId="66B219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单价</w:t>
            </w:r>
          </w:p>
        </w:tc>
        <w:tc>
          <w:tcPr>
            <w:tcW w:w="703" w:type="pct"/>
            <w:tcBorders>
              <w:top w:val="single" w:color="000000" w:sz="4" w:space="0"/>
              <w:left w:val="single" w:color="000000" w:sz="4" w:space="0"/>
              <w:bottom w:val="single" w:color="000000" w:sz="4" w:space="0"/>
              <w:right w:val="single" w:color="000000" w:sz="4" w:space="0"/>
            </w:tcBorders>
            <w:shd w:val="clear"/>
            <w:noWrap/>
            <w:vAlign w:val="center"/>
          </w:tcPr>
          <w:p w14:paraId="71445E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合价</w:t>
            </w:r>
          </w:p>
        </w:tc>
      </w:tr>
      <w:tr w14:paraId="670BF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08" w:type="pct"/>
            <w:tcBorders>
              <w:top w:val="single" w:color="000000" w:sz="4" w:space="0"/>
              <w:left w:val="single" w:color="000000" w:sz="4" w:space="0"/>
              <w:bottom w:val="single" w:color="000000" w:sz="4" w:space="0"/>
              <w:right w:val="single" w:color="000000" w:sz="4" w:space="0"/>
            </w:tcBorders>
            <w:shd w:val="clear"/>
            <w:noWrap/>
            <w:vAlign w:val="center"/>
          </w:tcPr>
          <w:p w14:paraId="163DF9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w:t>
            </w:r>
          </w:p>
        </w:tc>
        <w:tc>
          <w:tcPr>
            <w:tcW w:w="1120" w:type="pct"/>
            <w:tcBorders>
              <w:top w:val="single" w:color="000000" w:sz="4" w:space="0"/>
              <w:left w:val="single" w:color="000000" w:sz="4" w:space="0"/>
              <w:bottom w:val="single" w:color="000000" w:sz="4" w:space="0"/>
              <w:right w:val="single" w:color="000000" w:sz="4" w:space="0"/>
            </w:tcBorders>
            <w:shd w:val="clear"/>
            <w:noWrap/>
            <w:vAlign w:val="center"/>
          </w:tcPr>
          <w:p w14:paraId="560F1E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DN100镀锌管</w:t>
            </w:r>
          </w:p>
        </w:tc>
        <w:tc>
          <w:tcPr>
            <w:tcW w:w="791" w:type="pct"/>
            <w:tcBorders>
              <w:top w:val="single" w:color="000000" w:sz="4" w:space="0"/>
              <w:left w:val="single" w:color="000000" w:sz="4" w:space="0"/>
              <w:bottom w:val="single" w:color="000000" w:sz="4" w:space="0"/>
              <w:right w:val="single" w:color="000000" w:sz="4" w:space="0"/>
            </w:tcBorders>
            <w:shd w:val="clear"/>
            <w:noWrap/>
            <w:vAlign w:val="center"/>
          </w:tcPr>
          <w:p w14:paraId="7D4160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米</w:t>
            </w:r>
          </w:p>
        </w:tc>
        <w:tc>
          <w:tcPr>
            <w:tcW w:w="899" w:type="pct"/>
            <w:tcBorders>
              <w:top w:val="single" w:color="000000" w:sz="4" w:space="0"/>
              <w:left w:val="single" w:color="000000" w:sz="4" w:space="0"/>
              <w:bottom w:val="single" w:color="000000" w:sz="4" w:space="0"/>
              <w:right w:val="single" w:color="000000" w:sz="4" w:space="0"/>
            </w:tcBorders>
            <w:shd w:val="clear"/>
            <w:noWrap/>
            <w:vAlign w:val="center"/>
          </w:tcPr>
          <w:p w14:paraId="242181D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168</w:t>
            </w:r>
          </w:p>
        </w:tc>
        <w:tc>
          <w:tcPr>
            <w:tcW w:w="1077" w:type="pct"/>
            <w:tcBorders>
              <w:top w:val="single" w:color="000000" w:sz="4" w:space="0"/>
              <w:left w:val="single" w:color="000000" w:sz="4" w:space="0"/>
              <w:bottom w:val="single" w:color="000000" w:sz="4" w:space="0"/>
              <w:right w:val="single" w:color="000000" w:sz="4" w:space="0"/>
            </w:tcBorders>
            <w:shd w:val="clear"/>
            <w:noWrap/>
            <w:vAlign w:val="center"/>
          </w:tcPr>
          <w:p w14:paraId="3BC906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703" w:type="pct"/>
            <w:tcBorders>
              <w:top w:val="single" w:color="000000" w:sz="4" w:space="0"/>
              <w:left w:val="single" w:color="000000" w:sz="4" w:space="0"/>
              <w:bottom w:val="single" w:color="000000" w:sz="4" w:space="0"/>
              <w:right w:val="single" w:color="000000" w:sz="4" w:space="0"/>
            </w:tcBorders>
            <w:shd w:val="clear"/>
            <w:noWrap/>
            <w:vAlign w:val="center"/>
          </w:tcPr>
          <w:p w14:paraId="1582E3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r w14:paraId="5CAD0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08" w:type="pct"/>
            <w:tcBorders>
              <w:top w:val="single" w:color="000000" w:sz="4" w:space="0"/>
              <w:left w:val="single" w:color="000000" w:sz="4" w:space="0"/>
              <w:bottom w:val="single" w:color="000000" w:sz="4" w:space="0"/>
              <w:right w:val="single" w:color="000000" w:sz="4" w:space="0"/>
            </w:tcBorders>
            <w:shd w:val="clear"/>
            <w:noWrap/>
            <w:vAlign w:val="center"/>
          </w:tcPr>
          <w:p w14:paraId="3DB364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2</w:t>
            </w:r>
          </w:p>
        </w:tc>
        <w:tc>
          <w:tcPr>
            <w:tcW w:w="1120" w:type="pct"/>
            <w:tcBorders>
              <w:top w:val="single" w:color="000000" w:sz="4" w:space="0"/>
              <w:left w:val="single" w:color="000000" w:sz="4" w:space="0"/>
              <w:bottom w:val="single" w:color="000000" w:sz="4" w:space="0"/>
              <w:right w:val="single" w:color="000000" w:sz="4" w:space="0"/>
            </w:tcBorders>
            <w:shd w:val="clear"/>
            <w:noWrap/>
            <w:vAlign w:val="center"/>
          </w:tcPr>
          <w:p w14:paraId="29ED92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DN150镀锌管</w:t>
            </w:r>
          </w:p>
        </w:tc>
        <w:tc>
          <w:tcPr>
            <w:tcW w:w="791" w:type="pct"/>
            <w:tcBorders>
              <w:top w:val="single" w:color="000000" w:sz="4" w:space="0"/>
              <w:left w:val="single" w:color="000000" w:sz="4" w:space="0"/>
              <w:bottom w:val="single" w:color="000000" w:sz="4" w:space="0"/>
              <w:right w:val="single" w:color="000000" w:sz="4" w:space="0"/>
            </w:tcBorders>
            <w:shd w:val="clear"/>
            <w:noWrap/>
            <w:vAlign w:val="center"/>
          </w:tcPr>
          <w:p w14:paraId="760188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米</w:t>
            </w:r>
          </w:p>
        </w:tc>
        <w:tc>
          <w:tcPr>
            <w:tcW w:w="899" w:type="pct"/>
            <w:tcBorders>
              <w:top w:val="single" w:color="000000" w:sz="4" w:space="0"/>
              <w:left w:val="single" w:color="000000" w:sz="4" w:space="0"/>
              <w:bottom w:val="single" w:color="000000" w:sz="4" w:space="0"/>
              <w:right w:val="single" w:color="000000" w:sz="4" w:space="0"/>
            </w:tcBorders>
            <w:shd w:val="clear"/>
            <w:noWrap/>
            <w:vAlign w:val="center"/>
          </w:tcPr>
          <w:p w14:paraId="3507DF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32</w:t>
            </w:r>
          </w:p>
        </w:tc>
        <w:tc>
          <w:tcPr>
            <w:tcW w:w="1077" w:type="pct"/>
            <w:tcBorders>
              <w:top w:val="single" w:color="000000" w:sz="4" w:space="0"/>
              <w:left w:val="single" w:color="000000" w:sz="4" w:space="0"/>
              <w:bottom w:val="single" w:color="000000" w:sz="4" w:space="0"/>
              <w:right w:val="single" w:color="000000" w:sz="4" w:space="0"/>
            </w:tcBorders>
            <w:shd w:val="clear"/>
            <w:noWrap/>
            <w:vAlign w:val="center"/>
          </w:tcPr>
          <w:p w14:paraId="7F2211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703" w:type="pct"/>
            <w:tcBorders>
              <w:top w:val="single" w:color="000000" w:sz="4" w:space="0"/>
              <w:left w:val="single" w:color="000000" w:sz="4" w:space="0"/>
              <w:bottom w:val="single" w:color="000000" w:sz="4" w:space="0"/>
              <w:right w:val="single" w:color="000000" w:sz="4" w:space="0"/>
            </w:tcBorders>
            <w:shd w:val="clear"/>
            <w:noWrap/>
            <w:vAlign w:val="center"/>
          </w:tcPr>
          <w:p w14:paraId="61EBBE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r w14:paraId="2A457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08" w:type="pct"/>
            <w:tcBorders>
              <w:top w:val="single" w:color="000000" w:sz="4" w:space="0"/>
              <w:left w:val="single" w:color="000000" w:sz="4" w:space="0"/>
              <w:bottom w:val="single" w:color="000000" w:sz="4" w:space="0"/>
              <w:right w:val="single" w:color="000000" w:sz="4" w:space="0"/>
            </w:tcBorders>
            <w:shd w:val="clear"/>
            <w:noWrap/>
            <w:vAlign w:val="center"/>
          </w:tcPr>
          <w:p w14:paraId="396293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3</w:t>
            </w:r>
          </w:p>
        </w:tc>
        <w:tc>
          <w:tcPr>
            <w:tcW w:w="1120" w:type="pct"/>
            <w:tcBorders>
              <w:top w:val="single" w:color="000000" w:sz="4" w:space="0"/>
              <w:left w:val="single" w:color="000000" w:sz="4" w:space="0"/>
              <w:bottom w:val="single" w:color="000000" w:sz="4" w:space="0"/>
              <w:right w:val="single" w:color="000000" w:sz="4" w:space="0"/>
            </w:tcBorders>
            <w:shd w:val="clear"/>
            <w:noWrap/>
            <w:vAlign w:val="center"/>
          </w:tcPr>
          <w:p w14:paraId="75A162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开孔DN100</w:t>
            </w:r>
          </w:p>
        </w:tc>
        <w:tc>
          <w:tcPr>
            <w:tcW w:w="791" w:type="pct"/>
            <w:tcBorders>
              <w:top w:val="single" w:color="000000" w:sz="4" w:space="0"/>
              <w:left w:val="single" w:color="000000" w:sz="4" w:space="0"/>
              <w:bottom w:val="single" w:color="000000" w:sz="4" w:space="0"/>
              <w:right w:val="single" w:color="000000" w:sz="4" w:space="0"/>
            </w:tcBorders>
            <w:shd w:val="clear"/>
            <w:noWrap/>
            <w:vAlign w:val="center"/>
          </w:tcPr>
          <w:p w14:paraId="130E51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个</w:t>
            </w:r>
          </w:p>
        </w:tc>
        <w:tc>
          <w:tcPr>
            <w:tcW w:w="899" w:type="pct"/>
            <w:tcBorders>
              <w:top w:val="single" w:color="000000" w:sz="4" w:space="0"/>
              <w:left w:val="single" w:color="000000" w:sz="4" w:space="0"/>
              <w:bottom w:val="single" w:color="000000" w:sz="4" w:space="0"/>
              <w:right w:val="single" w:color="000000" w:sz="4" w:space="0"/>
            </w:tcBorders>
            <w:shd w:val="clear"/>
            <w:noWrap/>
            <w:vAlign w:val="center"/>
          </w:tcPr>
          <w:p w14:paraId="192F30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42</w:t>
            </w:r>
          </w:p>
        </w:tc>
        <w:tc>
          <w:tcPr>
            <w:tcW w:w="1077" w:type="pct"/>
            <w:tcBorders>
              <w:top w:val="single" w:color="000000" w:sz="4" w:space="0"/>
              <w:left w:val="single" w:color="000000" w:sz="4" w:space="0"/>
              <w:bottom w:val="single" w:color="000000" w:sz="4" w:space="0"/>
              <w:right w:val="single" w:color="000000" w:sz="4" w:space="0"/>
            </w:tcBorders>
            <w:shd w:val="clear"/>
            <w:noWrap/>
            <w:vAlign w:val="center"/>
          </w:tcPr>
          <w:p w14:paraId="4C8276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703" w:type="pct"/>
            <w:tcBorders>
              <w:top w:val="single" w:color="000000" w:sz="4" w:space="0"/>
              <w:left w:val="single" w:color="000000" w:sz="4" w:space="0"/>
              <w:bottom w:val="single" w:color="000000" w:sz="4" w:space="0"/>
              <w:right w:val="single" w:color="000000" w:sz="4" w:space="0"/>
            </w:tcBorders>
            <w:shd w:val="clear"/>
            <w:noWrap/>
            <w:vAlign w:val="center"/>
          </w:tcPr>
          <w:p w14:paraId="334A36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r w14:paraId="0C80E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08" w:type="pct"/>
            <w:tcBorders>
              <w:top w:val="single" w:color="000000" w:sz="4" w:space="0"/>
              <w:left w:val="single" w:color="000000" w:sz="4" w:space="0"/>
              <w:bottom w:val="single" w:color="000000" w:sz="4" w:space="0"/>
              <w:right w:val="single" w:color="000000" w:sz="4" w:space="0"/>
            </w:tcBorders>
            <w:shd w:val="clear"/>
            <w:noWrap/>
            <w:vAlign w:val="center"/>
          </w:tcPr>
          <w:p w14:paraId="1D50688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4</w:t>
            </w:r>
          </w:p>
        </w:tc>
        <w:tc>
          <w:tcPr>
            <w:tcW w:w="1120" w:type="pct"/>
            <w:tcBorders>
              <w:top w:val="single" w:color="000000" w:sz="4" w:space="0"/>
              <w:left w:val="single" w:color="000000" w:sz="4" w:space="0"/>
              <w:bottom w:val="single" w:color="000000" w:sz="4" w:space="0"/>
              <w:right w:val="single" w:color="000000" w:sz="4" w:space="0"/>
            </w:tcBorders>
            <w:shd w:val="clear"/>
            <w:noWrap/>
            <w:vAlign w:val="center"/>
          </w:tcPr>
          <w:p w14:paraId="261821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开孔DN150</w:t>
            </w:r>
          </w:p>
        </w:tc>
        <w:tc>
          <w:tcPr>
            <w:tcW w:w="791" w:type="pct"/>
            <w:tcBorders>
              <w:top w:val="single" w:color="000000" w:sz="4" w:space="0"/>
              <w:left w:val="single" w:color="000000" w:sz="4" w:space="0"/>
              <w:bottom w:val="single" w:color="000000" w:sz="4" w:space="0"/>
              <w:right w:val="single" w:color="000000" w:sz="4" w:space="0"/>
            </w:tcBorders>
            <w:shd w:val="clear"/>
            <w:noWrap/>
            <w:vAlign w:val="center"/>
          </w:tcPr>
          <w:p w14:paraId="1B3D11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个</w:t>
            </w:r>
          </w:p>
        </w:tc>
        <w:tc>
          <w:tcPr>
            <w:tcW w:w="899" w:type="pct"/>
            <w:tcBorders>
              <w:top w:val="single" w:color="000000" w:sz="4" w:space="0"/>
              <w:left w:val="single" w:color="000000" w:sz="4" w:space="0"/>
              <w:bottom w:val="single" w:color="000000" w:sz="4" w:space="0"/>
              <w:right w:val="single" w:color="000000" w:sz="4" w:space="0"/>
            </w:tcBorders>
            <w:shd w:val="clear"/>
            <w:noWrap/>
            <w:vAlign w:val="center"/>
          </w:tcPr>
          <w:p w14:paraId="25EB19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6</w:t>
            </w:r>
          </w:p>
        </w:tc>
        <w:tc>
          <w:tcPr>
            <w:tcW w:w="1077" w:type="pct"/>
            <w:tcBorders>
              <w:top w:val="single" w:color="000000" w:sz="4" w:space="0"/>
              <w:left w:val="single" w:color="000000" w:sz="4" w:space="0"/>
              <w:bottom w:val="single" w:color="000000" w:sz="4" w:space="0"/>
              <w:right w:val="single" w:color="000000" w:sz="4" w:space="0"/>
            </w:tcBorders>
            <w:shd w:val="clear"/>
            <w:noWrap/>
            <w:vAlign w:val="center"/>
          </w:tcPr>
          <w:p w14:paraId="01A79A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703" w:type="pct"/>
            <w:tcBorders>
              <w:top w:val="single" w:color="000000" w:sz="4" w:space="0"/>
              <w:left w:val="single" w:color="000000" w:sz="4" w:space="0"/>
              <w:bottom w:val="single" w:color="000000" w:sz="4" w:space="0"/>
              <w:right w:val="single" w:color="000000" w:sz="4" w:space="0"/>
            </w:tcBorders>
            <w:shd w:val="clear"/>
            <w:noWrap/>
            <w:vAlign w:val="center"/>
          </w:tcPr>
          <w:p w14:paraId="19364F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r w14:paraId="500EF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08" w:type="pct"/>
            <w:tcBorders>
              <w:top w:val="single" w:color="000000" w:sz="4" w:space="0"/>
              <w:left w:val="single" w:color="000000" w:sz="4" w:space="0"/>
              <w:bottom w:val="single" w:color="000000" w:sz="4" w:space="0"/>
              <w:right w:val="single" w:color="000000" w:sz="4" w:space="0"/>
            </w:tcBorders>
            <w:shd w:val="clear"/>
            <w:noWrap/>
            <w:vAlign w:val="center"/>
          </w:tcPr>
          <w:p w14:paraId="75A848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5</w:t>
            </w:r>
          </w:p>
        </w:tc>
        <w:tc>
          <w:tcPr>
            <w:tcW w:w="1120" w:type="pct"/>
            <w:tcBorders>
              <w:top w:val="single" w:color="000000" w:sz="4" w:space="0"/>
              <w:left w:val="single" w:color="000000" w:sz="4" w:space="0"/>
              <w:bottom w:val="single" w:color="000000" w:sz="4" w:space="0"/>
              <w:right w:val="single" w:color="000000" w:sz="4" w:space="0"/>
            </w:tcBorders>
            <w:shd w:val="clear"/>
            <w:noWrap/>
            <w:vAlign w:val="center"/>
          </w:tcPr>
          <w:p w14:paraId="26CE2F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DN150信号阀</w:t>
            </w:r>
          </w:p>
        </w:tc>
        <w:tc>
          <w:tcPr>
            <w:tcW w:w="791" w:type="pct"/>
            <w:tcBorders>
              <w:top w:val="single" w:color="000000" w:sz="4" w:space="0"/>
              <w:left w:val="single" w:color="000000" w:sz="4" w:space="0"/>
              <w:bottom w:val="single" w:color="000000" w:sz="4" w:space="0"/>
              <w:right w:val="single" w:color="000000" w:sz="4" w:space="0"/>
            </w:tcBorders>
            <w:shd w:val="clear"/>
            <w:noWrap/>
            <w:vAlign w:val="center"/>
          </w:tcPr>
          <w:p w14:paraId="6109C2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个</w:t>
            </w:r>
          </w:p>
        </w:tc>
        <w:tc>
          <w:tcPr>
            <w:tcW w:w="899" w:type="pct"/>
            <w:tcBorders>
              <w:top w:val="single" w:color="000000" w:sz="4" w:space="0"/>
              <w:left w:val="single" w:color="000000" w:sz="4" w:space="0"/>
              <w:bottom w:val="single" w:color="000000" w:sz="4" w:space="0"/>
              <w:right w:val="single" w:color="000000" w:sz="4" w:space="0"/>
            </w:tcBorders>
            <w:shd w:val="clear"/>
            <w:noWrap/>
            <w:vAlign w:val="center"/>
          </w:tcPr>
          <w:p w14:paraId="18B49B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6</w:t>
            </w:r>
          </w:p>
        </w:tc>
        <w:tc>
          <w:tcPr>
            <w:tcW w:w="1077" w:type="pct"/>
            <w:tcBorders>
              <w:top w:val="single" w:color="000000" w:sz="4" w:space="0"/>
              <w:left w:val="single" w:color="000000" w:sz="4" w:space="0"/>
              <w:bottom w:val="single" w:color="000000" w:sz="4" w:space="0"/>
              <w:right w:val="single" w:color="000000" w:sz="4" w:space="0"/>
            </w:tcBorders>
            <w:shd w:val="clear"/>
            <w:noWrap/>
            <w:vAlign w:val="center"/>
          </w:tcPr>
          <w:p w14:paraId="470EA8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703" w:type="pct"/>
            <w:tcBorders>
              <w:top w:val="single" w:color="000000" w:sz="4" w:space="0"/>
              <w:left w:val="single" w:color="000000" w:sz="4" w:space="0"/>
              <w:bottom w:val="single" w:color="000000" w:sz="4" w:space="0"/>
              <w:right w:val="single" w:color="000000" w:sz="4" w:space="0"/>
            </w:tcBorders>
            <w:shd w:val="clear"/>
            <w:noWrap/>
            <w:vAlign w:val="center"/>
          </w:tcPr>
          <w:p w14:paraId="12C4AE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r w14:paraId="19693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08" w:type="pct"/>
            <w:tcBorders>
              <w:top w:val="single" w:color="000000" w:sz="4" w:space="0"/>
              <w:left w:val="single" w:color="000000" w:sz="4" w:space="0"/>
              <w:bottom w:val="single" w:color="000000" w:sz="4" w:space="0"/>
              <w:right w:val="single" w:color="000000" w:sz="4" w:space="0"/>
            </w:tcBorders>
            <w:shd w:val="clear"/>
            <w:noWrap/>
            <w:vAlign w:val="center"/>
          </w:tcPr>
          <w:p w14:paraId="169CE7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6</w:t>
            </w:r>
          </w:p>
        </w:tc>
        <w:tc>
          <w:tcPr>
            <w:tcW w:w="1120" w:type="pct"/>
            <w:tcBorders>
              <w:top w:val="single" w:color="000000" w:sz="4" w:space="0"/>
              <w:left w:val="single" w:color="000000" w:sz="4" w:space="0"/>
              <w:bottom w:val="single" w:color="000000" w:sz="4" w:space="0"/>
              <w:right w:val="single" w:color="000000" w:sz="4" w:space="0"/>
            </w:tcBorders>
            <w:shd w:val="clear"/>
            <w:noWrap/>
            <w:vAlign w:val="center"/>
          </w:tcPr>
          <w:p w14:paraId="049AA6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DN150三通</w:t>
            </w:r>
          </w:p>
        </w:tc>
        <w:tc>
          <w:tcPr>
            <w:tcW w:w="791" w:type="pct"/>
            <w:tcBorders>
              <w:top w:val="single" w:color="000000" w:sz="4" w:space="0"/>
              <w:left w:val="single" w:color="000000" w:sz="4" w:space="0"/>
              <w:bottom w:val="single" w:color="000000" w:sz="4" w:space="0"/>
              <w:right w:val="single" w:color="000000" w:sz="4" w:space="0"/>
            </w:tcBorders>
            <w:shd w:val="clear"/>
            <w:noWrap/>
            <w:vAlign w:val="center"/>
          </w:tcPr>
          <w:p w14:paraId="0D49DC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个</w:t>
            </w:r>
          </w:p>
        </w:tc>
        <w:tc>
          <w:tcPr>
            <w:tcW w:w="899" w:type="pct"/>
            <w:tcBorders>
              <w:top w:val="single" w:color="000000" w:sz="4" w:space="0"/>
              <w:left w:val="single" w:color="000000" w:sz="4" w:space="0"/>
              <w:bottom w:val="single" w:color="000000" w:sz="4" w:space="0"/>
              <w:right w:val="single" w:color="000000" w:sz="4" w:space="0"/>
            </w:tcBorders>
            <w:shd w:val="clear"/>
            <w:noWrap/>
            <w:vAlign w:val="center"/>
          </w:tcPr>
          <w:p w14:paraId="43F0E7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6</w:t>
            </w:r>
          </w:p>
        </w:tc>
        <w:tc>
          <w:tcPr>
            <w:tcW w:w="1077" w:type="pct"/>
            <w:tcBorders>
              <w:top w:val="single" w:color="000000" w:sz="4" w:space="0"/>
              <w:left w:val="single" w:color="000000" w:sz="4" w:space="0"/>
              <w:bottom w:val="single" w:color="000000" w:sz="4" w:space="0"/>
              <w:right w:val="single" w:color="000000" w:sz="4" w:space="0"/>
            </w:tcBorders>
            <w:shd w:val="clear"/>
            <w:noWrap/>
            <w:vAlign w:val="center"/>
          </w:tcPr>
          <w:p w14:paraId="27BA45C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703" w:type="pct"/>
            <w:tcBorders>
              <w:top w:val="single" w:color="000000" w:sz="4" w:space="0"/>
              <w:left w:val="single" w:color="000000" w:sz="4" w:space="0"/>
              <w:bottom w:val="single" w:color="000000" w:sz="4" w:space="0"/>
              <w:right w:val="single" w:color="000000" w:sz="4" w:space="0"/>
            </w:tcBorders>
            <w:shd w:val="clear"/>
            <w:noWrap/>
            <w:vAlign w:val="center"/>
          </w:tcPr>
          <w:p w14:paraId="50A4F3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r w14:paraId="43041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08" w:type="pct"/>
            <w:tcBorders>
              <w:top w:val="single" w:color="000000" w:sz="4" w:space="0"/>
              <w:left w:val="single" w:color="000000" w:sz="4" w:space="0"/>
              <w:bottom w:val="single" w:color="000000" w:sz="4" w:space="0"/>
              <w:right w:val="single" w:color="000000" w:sz="4" w:space="0"/>
            </w:tcBorders>
            <w:shd w:val="clear"/>
            <w:noWrap/>
            <w:vAlign w:val="center"/>
          </w:tcPr>
          <w:p w14:paraId="436ACF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7</w:t>
            </w:r>
          </w:p>
        </w:tc>
        <w:tc>
          <w:tcPr>
            <w:tcW w:w="1120" w:type="pct"/>
            <w:tcBorders>
              <w:top w:val="single" w:color="000000" w:sz="4" w:space="0"/>
              <w:left w:val="single" w:color="000000" w:sz="4" w:space="0"/>
              <w:bottom w:val="single" w:color="000000" w:sz="4" w:space="0"/>
              <w:right w:val="single" w:color="000000" w:sz="4" w:space="0"/>
            </w:tcBorders>
            <w:shd w:val="clear"/>
            <w:noWrap/>
            <w:vAlign w:val="center"/>
          </w:tcPr>
          <w:p w14:paraId="68A872B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桥架10*15</w:t>
            </w:r>
          </w:p>
        </w:tc>
        <w:tc>
          <w:tcPr>
            <w:tcW w:w="791" w:type="pct"/>
            <w:tcBorders>
              <w:top w:val="single" w:color="000000" w:sz="4" w:space="0"/>
              <w:left w:val="single" w:color="000000" w:sz="4" w:space="0"/>
              <w:bottom w:val="single" w:color="000000" w:sz="4" w:space="0"/>
              <w:right w:val="single" w:color="000000" w:sz="4" w:space="0"/>
            </w:tcBorders>
            <w:shd w:val="clear"/>
            <w:noWrap/>
            <w:vAlign w:val="center"/>
          </w:tcPr>
          <w:p w14:paraId="2FF73F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米</w:t>
            </w:r>
          </w:p>
        </w:tc>
        <w:tc>
          <w:tcPr>
            <w:tcW w:w="899" w:type="pct"/>
            <w:tcBorders>
              <w:top w:val="single" w:color="000000" w:sz="4" w:space="0"/>
              <w:left w:val="single" w:color="000000" w:sz="4" w:space="0"/>
              <w:bottom w:val="single" w:color="000000" w:sz="4" w:space="0"/>
              <w:right w:val="single" w:color="000000" w:sz="4" w:space="0"/>
            </w:tcBorders>
            <w:shd w:val="clear"/>
            <w:noWrap/>
            <w:vAlign w:val="center"/>
          </w:tcPr>
          <w:p w14:paraId="26FAB6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25</w:t>
            </w:r>
          </w:p>
        </w:tc>
        <w:tc>
          <w:tcPr>
            <w:tcW w:w="1077" w:type="pct"/>
            <w:tcBorders>
              <w:top w:val="single" w:color="000000" w:sz="4" w:space="0"/>
              <w:left w:val="single" w:color="000000" w:sz="4" w:space="0"/>
              <w:bottom w:val="single" w:color="000000" w:sz="4" w:space="0"/>
              <w:right w:val="single" w:color="000000" w:sz="4" w:space="0"/>
            </w:tcBorders>
            <w:shd w:val="clear"/>
            <w:noWrap/>
            <w:vAlign w:val="center"/>
          </w:tcPr>
          <w:p w14:paraId="15F004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703" w:type="pct"/>
            <w:tcBorders>
              <w:top w:val="single" w:color="000000" w:sz="4" w:space="0"/>
              <w:left w:val="single" w:color="000000" w:sz="4" w:space="0"/>
              <w:bottom w:val="single" w:color="000000" w:sz="4" w:space="0"/>
              <w:right w:val="single" w:color="000000" w:sz="4" w:space="0"/>
            </w:tcBorders>
            <w:shd w:val="clear"/>
            <w:noWrap/>
            <w:vAlign w:val="center"/>
          </w:tcPr>
          <w:p w14:paraId="7EBE96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r w14:paraId="1E10D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08" w:type="pct"/>
            <w:tcBorders>
              <w:top w:val="single" w:color="000000" w:sz="4" w:space="0"/>
              <w:left w:val="single" w:color="000000" w:sz="4" w:space="0"/>
              <w:bottom w:val="single" w:color="000000" w:sz="4" w:space="0"/>
              <w:right w:val="single" w:color="000000" w:sz="4" w:space="0"/>
            </w:tcBorders>
            <w:shd w:val="clear"/>
            <w:noWrap/>
            <w:vAlign w:val="center"/>
          </w:tcPr>
          <w:p w14:paraId="628DF4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8</w:t>
            </w:r>
          </w:p>
        </w:tc>
        <w:tc>
          <w:tcPr>
            <w:tcW w:w="1120" w:type="pct"/>
            <w:tcBorders>
              <w:top w:val="single" w:color="000000" w:sz="4" w:space="0"/>
              <w:left w:val="single" w:color="000000" w:sz="4" w:space="0"/>
              <w:bottom w:val="single" w:color="000000" w:sz="4" w:space="0"/>
              <w:right w:val="single" w:color="000000" w:sz="4" w:space="0"/>
            </w:tcBorders>
            <w:shd w:val="clear"/>
            <w:noWrap/>
            <w:vAlign w:val="center"/>
          </w:tcPr>
          <w:p w14:paraId="10DA86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电线2*2.5</w:t>
            </w:r>
          </w:p>
        </w:tc>
        <w:tc>
          <w:tcPr>
            <w:tcW w:w="791" w:type="pct"/>
            <w:tcBorders>
              <w:top w:val="single" w:color="000000" w:sz="4" w:space="0"/>
              <w:left w:val="single" w:color="000000" w:sz="4" w:space="0"/>
              <w:bottom w:val="single" w:color="000000" w:sz="4" w:space="0"/>
              <w:right w:val="single" w:color="000000" w:sz="4" w:space="0"/>
            </w:tcBorders>
            <w:shd w:val="clear"/>
            <w:noWrap/>
            <w:vAlign w:val="center"/>
          </w:tcPr>
          <w:p w14:paraId="481E8C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米</w:t>
            </w:r>
          </w:p>
        </w:tc>
        <w:tc>
          <w:tcPr>
            <w:tcW w:w="899" w:type="pct"/>
            <w:tcBorders>
              <w:top w:val="single" w:color="000000" w:sz="4" w:space="0"/>
              <w:left w:val="single" w:color="000000" w:sz="4" w:space="0"/>
              <w:bottom w:val="single" w:color="000000" w:sz="4" w:space="0"/>
              <w:right w:val="single" w:color="000000" w:sz="4" w:space="0"/>
            </w:tcBorders>
            <w:shd w:val="clear"/>
            <w:noWrap/>
            <w:vAlign w:val="center"/>
          </w:tcPr>
          <w:p w14:paraId="15496A5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150</w:t>
            </w:r>
          </w:p>
        </w:tc>
        <w:tc>
          <w:tcPr>
            <w:tcW w:w="1077" w:type="pct"/>
            <w:tcBorders>
              <w:top w:val="single" w:color="000000" w:sz="4" w:space="0"/>
              <w:left w:val="single" w:color="000000" w:sz="4" w:space="0"/>
              <w:bottom w:val="single" w:color="000000" w:sz="4" w:space="0"/>
              <w:right w:val="single" w:color="000000" w:sz="4" w:space="0"/>
            </w:tcBorders>
            <w:shd w:val="clear"/>
            <w:noWrap/>
            <w:vAlign w:val="center"/>
          </w:tcPr>
          <w:p w14:paraId="4E974D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703" w:type="pct"/>
            <w:tcBorders>
              <w:top w:val="single" w:color="000000" w:sz="4" w:space="0"/>
              <w:left w:val="single" w:color="000000" w:sz="4" w:space="0"/>
              <w:bottom w:val="single" w:color="000000" w:sz="4" w:space="0"/>
              <w:right w:val="single" w:color="000000" w:sz="4" w:space="0"/>
            </w:tcBorders>
            <w:shd w:val="clear"/>
            <w:noWrap/>
            <w:vAlign w:val="center"/>
          </w:tcPr>
          <w:p w14:paraId="266413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r w14:paraId="1E8B2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08" w:type="pct"/>
            <w:tcBorders>
              <w:top w:val="single" w:color="000000" w:sz="4" w:space="0"/>
              <w:left w:val="single" w:color="000000" w:sz="4" w:space="0"/>
              <w:bottom w:val="single" w:color="000000" w:sz="4" w:space="0"/>
              <w:right w:val="single" w:color="000000" w:sz="4" w:space="0"/>
            </w:tcBorders>
            <w:shd w:val="clear"/>
            <w:noWrap/>
            <w:vAlign w:val="center"/>
          </w:tcPr>
          <w:p w14:paraId="5AA853B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9</w:t>
            </w:r>
          </w:p>
        </w:tc>
        <w:tc>
          <w:tcPr>
            <w:tcW w:w="1120" w:type="pct"/>
            <w:tcBorders>
              <w:top w:val="single" w:color="000000" w:sz="4" w:space="0"/>
              <w:left w:val="single" w:color="000000" w:sz="4" w:space="0"/>
              <w:bottom w:val="single" w:color="000000" w:sz="4" w:space="0"/>
              <w:right w:val="single" w:color="000000" w:sz="4" w:space="0"/>
            </w:tcBorders>
            <w:shd w:val="clear"/>
            <w:noWrap/>
            <w:vAlign w:val="center"/>
          </w:tcPr>
          <w:p w14:paraId="771AB2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管道刷油</w:t>
            </w:r>
          </w:p>
        </w:tc>
        <w:tc>
          <w:tcPr>
            <w:tcW w:w="791" w:type="pct"/>
            <w:tcBorders>
              <w:top w:val="single" w:color="000000" w:sz="4" w:space="0"/>
              <w:left w:val="single" w:color="000000" w:sz="4" w:space="0"/>
              <w:bottom w:val="single" w:color="000000" w:sz="4" w:space="0"/>
              <w:right w:val="single" w:color="000000" w:sz="4" w:space="0"/>
            </w:tcBorders>
            <w:shd w:val="clear"/>
            <w:noWrap/>
            <w:vAlign w:val="center"/>
          </w:tcPr>
          <w:p w14:paraId="3A6371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平方</w:t>
            </w:r>
          </w:p>
        </w:tc>
        <w:tc>
          <w:tcPr>
            <w:tcW w:w="899" w:type="pct"/>
            <w:tcBorders>
              <w:top w:val="single" w:color="000000" w:sz="4" w:space="0"/>
              <w:left w:val="single" w:color="000000" w:sz="4" w:space="0"/>
              <w:bottom w:val="single" w:color="000000" w:sz="4" w:space="0"/>
              <w:right w:val="single" w:color="000000" w:sz="4" w:space="0"/>
            </w:tcBorders>
            <w:shd w:val="clear"/>
            <w:noWrap/>
            <w:vAlign w:val="center"/>
          </w:tcPr>
          <w:p w14:paraId="620A6B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30</w:t>
            </w:r>
          </w:p>
        </w:tc>
        <w:tc>
          <w:tcPr>
            <w:tcW w:w="1077" w:type="pct"/>
            <w:tcBorders>
              <w:top w:val="single" w:color="000000" w:sz="4" w:space="0"/>
              <w:left w:val="single" w:color="000000" w:sz="4" w:space="0"/>
              <w:bottom w:val="single" w:color="000000" w:sz="4" w:space="0"/>
              <w:right w:val="single" w:color="000000" w:sz="4" w:space="0"/>
            </w:tcBorders>
            <w:shd w:val="clear"/>
            <w:noWrap/>
            <w:vAlign w:val="center"/>
          </w:tcPr>
          <w:p w14:paraId="1DEC69B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703" w:type="pct"/>
            <w:tcBorders>
              <w:top w:val="single" w:color="000000" w:sz="4" w:space="0"/>
              <w:left w:val="single" w:color="000000" w:sz="4" w:space="0"/>
              <w:bottom w:val="single" w:color="000000" w:sz="4" w:space="0"/>
              <w:right w:val="single" w:color="000000" w:sz="4" w:space="0"/>
            </w:tcBorders>
            <w:shd w:val="clear"/>
            <w:noWrap/>
            <w:vAlign w:val="center"/>
          </w:tcPr>
          <w:p w14:paraId="61844F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r w14:paraId="06BEA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1528" w:type="pct"/>
            <w:gridSpan w:val="2"/>
            <w:tcBorders>
              <w:top w:val="single" w:color="000000" w:sz="4" w:space="0"/>
              <w:left w:val="single" w:color="000000" w:sz="4" w:space="0"/>
              <w:bottom w:val="single" w:color="000000" w:sz="4" w:space="0"/>
              <w:right w:val="single" w:color="000000" w:sz="4" w:space="0"/>
            </w:tcBorders>
            <w:shd w:val="clear"/>
            <w:noWrap/>
            <w:vAlign w:val="center"/>
          </w:tcPr>
          <w:p w14:paraId="7F635B4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总价</w:t>
            </w:r>
          </w:p>
        </w:tc>
        <w:tc>
          <w:tcPr>
            <w:tcW w:w="791" w:type="pct"/>
            <w:tcBorders>
              <w:top w:val="single" w:color="000000" w:sz="4" w:space="0"/>
              <w:left w:val="single" w:color="000000" w:sz="4" w:space="0"/>
              <w:bottom w:val="single" w:color="000000" w:sz="4" w:space="0"/>
              <w:right w:val="single" w:color="000000" w:sz="4" w:space="0"/>
            </w:tcBorders>
            <w:shd w:val="clear"/>
            <w:noWrap/>
            <w:vAlign w:val="center"/>
          </w:tcPr>
          <w:p w14:paraId="5EE1CD51">
            <w:pPr>
              <w:jc w:val="center"/>
              <w:rPr>
                <w:rFonts w:hint="eastAsia" w:ascii="仿宋" w:hAnsi="仿宋" w:eastAsia="仿宋" w:cs="仿宋"/>
                <w:i w:val="0"/>
                <w:iCs w:val="0"/>
                <w:color w:val="000000"/>
                <w:sz w:val="24"/>
                <w:szCs w:val="24"/>
                <w:u w:val="none"/>
              </w:rPr>
            </w:pPr>
          </w:p>
        </w:tc>
        <w:tc>
          <w:tcPr>
            <w:tcW w:w="899" w:type="pct"/>
            <w:tcBorders>
              <w:top w:val="single" w:color="000000" w:sz="4" w:space="0"/>
              <w:left w:val="single" w:color="000000" w:sz="4" w:space="0"/>
              <w:bottom w:val="single" w:color="000000" w:sz="4" w:space="0"/>
              <w:right w:val="single" w:color="000000" w:sz="4" w:space="0"/>
            </w:tcBorders>
            <w:shd w:val="clear"/>
            <w:noWrap/>
            <w:vAlign w:val="center"/>
          </w:tcPr>
          <w:p w14:paraId="47EC3FA4">
            <w:pPr>
              <w:jc w:val="center"/>
              <w:rPr>
                <w:rFonts w:hint="eastAsia" w:ascii="仿宋" w:hAnsi="仿宋" w:eastAsia="仿宋" w:cs="仿宋"/>
                <w:i w:val="0"/>
                <w:iCs w:val="0"/>
                <w:color w:val="000000"/>
                <w:sz w:val="24"/>
                <w:szCs w:val="24"/>
                <w:u w:val="none"/>
              </w:rPr>
            </w:pPr>
          </w:p>
        </w:tc>
        <w:tc>
          <w:tcPr>
            <w:tcW w:w="1077" w:type="pct"/>
            <w:tcBorders>
              <w:top w:val="single" w:color="000000" w:sz="4" w:space="0"/>
              <w:left w:val="single" w:color="000000" w:sz="4" w:space="0"/>
              <w:bottom w:val="single" w:color="000000" w:sz="4" w:space="0"/>
              <w:right w:val="single" w:color="000000" w:sz="4" w:space="0"/>
            </w:tcBorders>
            <w:shd w:val="clear"/>
            <w:noWrap/>
            <w:vAlign w:val="center"/>
          </w:tcPr>
          <w:p w14:paraId="146E0A9E">
            <w:pPr>
              <w:jc w:val="center"/>
              <w:rPr>
                <w:rFonts w:hint="eastAsia" w:ascii="仿宋" w:hAnsi="仿宋" w:eastAsia="仿宋" w:cs="仿宋"/>
                <w:i w:val="0"/>
                <w:iCs w:val="0"/>
                <w:color w:val="000000"/>
                <w:sz w:val="24"/>
                <w:szCs w:val="24"/>
                <w:u w:val="none"/>
              </w:rPr>
            </w:pPr>
          </w:p>
        </w:tc>
        <w:tc>
          <w:tcPr>
            <w:tcW w:w="703" w:type="pct"/>
            <w:tcBorders>
              <w:top w:val="single" w:color="000000" w:sz="4" w:space="0"/>
              <w:left w:val="single" w:color="000000" w:sz="4" w:space="0"/>
              <w:bottom w:val="single" w:color="000000" w:sz="4" w:space="0"/>
              <w:right w:val="single" w:color="000000" w:sz="4" w:space="0"/>
            </w:tcBorders>
            <w:shd w:val="clear"/>
            <w:noWrap/>
            <w:vAlign w:val="center"/>
          </w:tcPr>
          <w:p w14:paraId="715722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bl>
    <w:p w14:paraId="3E28D555">
      <w:pPr>
        <w:adjustRightInd w:val="0"/>
        <w:spacing w:line="480" w:lineRule="exact"/>
        <w:jc w:val="left"/>
        <w:rPr>
          <w:rFonts w:hint="default" w:ascii="仿宋" w:hAnsi="仿宋" w:eastAsia="仿宋"/>
          <w:b/>
          <w:color w:val="000000" w:themeColor="text1"/>
          <w:sz w:val="30"/>
          <w:szCs w:val="30"/>
          <w:lang w:val="en-US"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8275C2"/>
    <w:rsid w:val="01E039E1"/>
    <w:rsid w:val="01E36E66"/>
    <w:rsid w:val="02080F1A"/>
    <w:rsid w:val="0273010D"/>
    <w:rsid w:val="03AA5DB1"/>
    <w:rsid w:val="03D90444"/>
    <w:rsid w:val="03F03D1D"/>
    <w:rsid w:val="04115E30"/>
    <w:rsid w:val="043973B6"/>
    <w:rsid w:val="0456200F"/>
    <w:rsid w:val="04F401B3"/>
    <w:rsid w:val="05456992"/>
    <w:rsid w:val="056C0631"/>
    <w:rsid w:val="05B37416"/>
    <w:rsid w:val="06543448"/>
    <w:rsid w:val="06AB172E"/>
    <w:rsid w:val="07604706"/>
    <w:rsid w:val="07830C87"/>
    <w:rsid w:val="078A03D3"/>
    <w:rsid w:val="07931220"/>
    <w:rsid w:val="07C0102B"/>
    <w:rsid w:val="08154A6C"/>
    <w:rsid w:val="088E3B00"/>
    <w:rsid w:val="09907758"/>
    <w:rsid w:val="099E0166"/>
    <w:rsid w:val="0A0674FF"/>
    <w:rsid w:val="0AA448CB"/>
    <w:rsid w:val="0B6435BB"/>
    <w:rsid w:val="0B860EB1"/>
    <w:rsid w:val="0BA852CC"/>
    <w:rsid w:val="0C6D4563"/>
    <w:rsid w:val="0C7937A6"/>
    <w:rsid w:val="0CBF26C9"/>
    <w:rsid w:val="0CF84031"/>
    <w:rsid w:val="0E282CE3"/>
    <w:rsid w:val="0E47210D"/>
    <w:rsid w:val="0F8E6586"/>
    <w:rsid w:val="0FB32534"/>
    <w:rsid w:val="0FDA0C1D"/>
    <w:rsid w:val="10613A0A"/>
    <w:rsid w:val="107E484D"/>
    <w:rsid w:val="10D00E84"/>
    <w:rsid w:val="11692E07"/>
    <w:rsid w:val="11742E1C"/>
    <w:rsid w:val="11870872"/>
    <w:rsid w:val="11A726EA"/>
    <w:rsid w:val="11BC387F"/>
    <w:rsid w:val="11F42D81"/>
    <w:rsid w:val="120C1B9A"/>
    <w:rsid w:val="12121331"/>
    <w:rsid w:val="12C50511"/>
    <w:rsid w:val="12CE4D5A"/>
    <w:rsid w:val="12F31522"/>
    <w:rsid w:val="131018D8"/>
    <w:rsid w:val="13C7475D"/>
    <w:rsid w:val="14125C6A"/>
    <w:rsid w:val="1483335E"/>
    <w:rsid w:val="1487792B"/>
    <w:rsid w:val="14922675"/>
    <w:rsid w:val="14CD3D4D"/>
    <w:rsid w:val="14D827D3"/>
    <w:rsid w:val="15091AF6"/>
    <w:rsid w:val="15EF2D90"/>
    <w:rsid w:val="15F6383D"/>
    <w:rsid w:val="163836F0"/>
    <w:rsid w:val="16B4137A"/>
    <w:rsid w:val="16D63B17"/>
    <w:rsid w:val="18660E62"/>
    <w:rsid w:val="18E776A7"/>
    <w:rsid w:val="19406B43"/>
    <w:rsid w:val="194B1768"/>
    <w:rsid w:val="19F30E24"/>
    <w:rsid w:val="19F73F01"/>
    <w:rsid w:val="1A501008"/>
    <w:rsid w:val="1A662151"/>
    <w:rsid w:val="1A701DD5"/>
    <w:rsid w:val="1A8769F4"/>
    <w:rsid w:val="1AE57555"/>
    <w:rsid w:val="1B28270A"/>
    <w:rsid w:val="1B2D5D50"/>
    <w:rsid w:val="1B3C6D83"/>
    <w:rsid w:val="1B48007F"/>
    <w:rsid w:val="1B4902D4"/>
    <w:rsid w:val="1B507AEB"/>
    <w:rsid w:val="1BBB0703"/>
    <w:rsid w:val="1BE834C2"/>
    <w:rsid w:val="1CAA5CB0"/>
    <w:rsid w:val="1CB702FA"/>
    <w:rsid w:val="1D44124A"/>
    <w:rsid w:val="1D7F0399"/>
    <w:rsid w:val="1DB23D88"/>
    <w:rsid w:val="1DBC2247"/>
    <w:rsid w:val="1DF66617"/>
    <w:rsid w:val="1E591D2E"/>
    <w:rsid w:val="1E84307A"/>
    <w:rsid w:val="1EF15F8C"/>
    <w:rsid w:val="1FC13095"/>
    <w:rsid w:val="1FC41B50"/>
    <w:rsid w:val="1FDD64DC"/>
    <w:rsid w:val="207E3A04"/>
    <w:rsid w:val="20E74DDD"/>
    <w:rsid w:val="20FC2E19"/>
    <w:rsid w:val="210220E4"/>
    <w:rsid w:val="21C87751"/>
    <w:rsid w:val="227D2BB6"/>
    <w:rsid w:val="230D7E91"/>
    <w:rsid w:val="23B9512F"/>
    <w:rsid w:val="23C853F8"/>
    <w:rsid w:val="23E46C65"/>
    <w:rsid w:val="245152B3"/>
    <w:rsid w:val="246B444C"/>
    <w:rsid w:val="247A6B08"/>
    <w:rsid w:val="248D0F0D"/>
    <w:rsid w:val="24CC674D"/>
    <w:rsid w:val="24E10BFC"/>
    <w:rsid w:val="24F240EB"/>
    <w:rsid w:val="256E7CC8"/>
    <w:rsid w:val="25E566D6"/>
    <w:rsid w:val="25F57150"/>
    <w:rsid w:val="26013D28"/>
    <w:rsid w:val="2621602B"/>
    <w:rsid w:val="264D28A0"/>
    <w:rsid w:val="26914E82"/>
    <w:rsid w:val="271635D9"/>
    <w:rsid w:val="271A2CD1"/>
    <w:rsid w:val="275A646F"/>
    <w:rsid w:val="2786142B"/>
    <w:rsid w:val="280630EC"/>
    <w:rsid w:val="28112A53"/>
    <w:rsid w:val="281762B4"/>
    <w:rsid w:val="283B4707"/>
    <w:rsid w:val="285E77DB"/>
    <w:rsid w:val="28953575"/>
    <w:rsid w:val="28A9645D"/>
    <w:rsid w:val="290B10B2"/>
    <w:rsid w:val="29305F5D"/>
    <w:rsid w:val="29347D47"/>
    <w:rsid w:val="29407B01"/>
    <w:rsid w:val="29A2742D"/>
    <w:rsid w:val="2A192C73"/>
    <w:rsid w:val="2A5F445E"/>
    <w:rsid w:val="2ACF0CA7"/>
    <w:rsid w:val="2AF4778E"/>
    <w:rsid w:val="2B1716CE"/>
    <w:rsid w:val="2BC628A0"/>
    <w:rsid w:val="2BCA2832"/>
    <w:rsid w:val="2C2C721A"/>
    <w:rsid w:val="2C4617FF"/>
    <w:rsid w:val="2C4E531F"/>
    <w:rsid w:val="2C7A2001"/>
    <w:rsid w:val="2CCE4C79"/>
    <w:rsid w:val="2D900F87"/>
    <w:rsid w:val="2DE25FC3"/>
    <w:rsid w:val="2E5C1A86"/>
    <w:rsid w:val="2E652B53"/>
    <w:rsid w:val="2E8157DC"/>
    <w:rsid w:val="2EA17C2D"/>
    <w:rsid w:val="2EE116CD"/>
    <w:rsid w:val="2F2919D0"/>
    <w:rsid w:val="2F302096"/>
    <w:rsid w:val="2F3A79D0"/>
    <w:rsid w:val="2F9F02D4"/>
    <w:rsid w:val="2FC326B9"/>
    <w:rsid w:val="2FE06533"/>
    <w:rsid w:val="2FE113DD"/>
    <w:rsid w:val="30344E34"/>
    <w:rsid w:val="30A32DD3"/>
    <w:rsid w:val="313A5A38"/>
    <w:rsid w:val="317760CB"/>
    <w:rsid w:val="31B447D1"/>
    <w:rsid w:val="31C205E6"/>
    <w:rsid w:val="32AE2918"/>
    <w:rsid w:val="32C61A89"/>
    <w:rsid w:val="32CE4EB9"/>
    <w:rsid w:val="33061317"/>
    <w:rsid w:val="333B777A"/>
    <w:rsid w:val="33574D5E"/>
    <w:rsid w:val="335B485E"/>
    <w:rsid w:val="33823753"/>
    <w:rsid w:val="34335EE7"/>
    <w:rsid w:val="34636AB7"/>
    <w:rsid w:val="34930017"/>
    <w:rsid w:val="349F69BC"/>
    <w:rsid w:val="34C72269"/>
    <w:rsid w:val="34D174A7"/>
    <w:rsid w:val="359F5EDE"/>
    <w:rsid w:val="35AA12C9"/>
    <w:rsid w:val="35DC1DA8"/>
    <w:rsid w:val="36545B4F"/>
    <w:rsid w:val="371F7D7D"/>
    <w:rsid w:val="375D7A2B"/>
    <w:rsid w:val="379C1A5A"/>
    <w:rsid w:val="37CA2A13"/>
    <w:rsid w:val="3821593A"/>
    <w:rsid w:val="382974C8"/>
    <w:rsid w:val="382C4E37"/>
    <w:rsid w:val="382F62A9"/>
    <w:rsid w:val="383657FD"/>
    <w:rsid w:val="385E4900"/>
    <w:rsid w:val="388E7E18"/>
    <w:rsid w:val="38BB1803"/>
    <w:rsid w:val="38E839F1"/>
    <w:rsid w:val="38EF3790"/>
    <w:rsid w:val="38FC13E4"/>
    <w:rsid w:val="39361575"/>
    <w:rsid w:val="393F42CA"/>
    <w:rsid w:val="397F12DA"/>
    <w:rsid w:val="39AE76A2"/>
    <w:rsid w:val="39E11BC7"/>
    <w:rsid w:val="3AB14CEA"/>
    <w:rsid w:val="3AFB2DC5"/>
    <w:rsid w:val="3B951B7B"/>
    <w:rsid w:val="3BC7163B"/>
    <w:rsid w:val="3BD0249C"/>
    <w:rsid w:val="3BFD1D4F"/>
    <w:rsid w:val="3C6E4EC6"/>
    <w:rsid w:val="3C7E0650"/>
    <w:rsid w:val="3D8A5601"/>
    <w:rsid w:val="3D8B0C71"/>
    <w:rsid w:val="3DCF6FFB"/>
    <w:rsid w:val="3DD756B9"/>
    <w:rsid w:val="3E267331"/>
    <w:rsid w:val="3E3010A8"/>
    <w:rsid w:val="3ED966FA"/>
    <w:rsid w:val="3F7B7B8A"/>
    <w:rsid w:val="3FD0465A"/>
    <w:rsid w:val="4093314D"/>
    <w:rsid w:val="411B561D"/>
    <w:rsid w:val="41DC3B36"/>
    <w:rsid w:val="42F42673"/>
    <w:rsid w:val="43087E22"/>
    <w:rsid w:val="435766B4"/>
    <w:rsid w:val="44371C48"/>
    <w:rsid w:val="44AD0C81"/>
    <w:rsid w:val="455A182E"/>
    <w:rsid w:val="45D14967"/>
    <w:rsid w:val="462F56C6"/>
    <w:rsid w:val="46534978"/>
    <w:rsid w:val="465E4764"/>
    <w:rsid w:val="468D30CA"/>
    <w:rsid w:val="46CD3169"/>
    <w:rsid w:val="46EE37D3"/>
    <w:rsid w:val="47702E10"/>
    <w:rsid w:val="48435459"/>
    <w:rsid w:val="491B410A"/>
    <w:rsid w:val="496C5102"/>
    <w:rsid w:val="497D1516"/>
    <w:rsid w:val="4A6C0C97"/>
    <w:rsid w:val="4A8554C1"/>
    <w:rsid w:val="4ACA03B1"/>
    <w:rsid w:val="4AD849ED"/>
    <w:rsid w:val="4BB849BD"/>
    <w:rsid w:val="4C413D50"/>
    <w:rsid w:val="4CC4568A"/>
    <w:rsid w:val="4CF87218"/>
    <w:rsid w:val="4D92310A"/>
    <w:rsid w:val="4E143CB5"/>
    <w:rsid w:val="4EB345D2"/>
    <w:rsid w:val="4ED101F6"/>
    <w:rsid w:val="4EED611E"/>
    <w:rsid w:val="4F241019"/>
    <w:rsid w:val="4F46070C"/>
    <w:rsid w:val="4FB4610D"/>
    <w:rsid w:val="4FF635FB"/>
    <w:rsid w:val="4FFB7CBC"/>
    <w:rsid w:val="50286274"/>
    <w:rsid w:val="50481C31"/>
    <w:rsid w:val="506D57DC"/>
    <w:rsid w:val="50895F8F"/>
    <w:rsid w:val="50E9657C"/>
    <w:rsid w:val="510C61C9"/>
    <w:rsid w:val="51595F55"/>
    <w:rsid w:val="529A40C4"/>
    <w:rsid w:val="52DB4C0C"/>
    <w:rsid w:val="532175A1"/>
    <w:rsid w:val="53EF0F1D"/>
    <w:rsid w:val="55515659"/>
    <w:rsid w:val="55A03EEB"/>
    <w:rsid w:val="55AE2AAB"/>
    <w:rsid w:val="55E62BD1"/>
    <w:rsid w:val="55EA5046"/>
    <w:rsid w:val="55F622FB"/>
    <w:rsid w:val="565A678F"/>
    <w:rsid w:val="56D13F4F"/>
    <w:rsid w:val="577216B2"/>
    <w:rsid w:val="58FE725A"/>
    <w:rsid w:val="59552884"/>
    <w:rsid w:val="59926B38"/>
    <w:rsid w:val="59983E95"/>
    <w:rsid w:val="59A64D1A"/>
    <w:rsid w:val="59F80546"/>
    <w:rsid w:val="5A02027F"/>
    <w:rsid w:val="5A056A12"/>
    <w:rsid w:val="5A06311D"/>
    <w:rsid w:val="5A156304"/>
    <w:rsid w:val="5A992C6C"/>
    <w:rsid w:val="5AF47194"/>
    <w:rsid w:val="5B6360E6"/>
    <w:rsid w:val="5BE07737"/>
    <w:rsid w:val="5C013209"/>
    <w:rsid w:val="5C5A7C37"/>
    <w:rsid w:val="5C753925"/>
    <w:rsid w:val="5CDF290C"/>
    <w:rsid w:val="5D3F66DF"/>
    <w:rsid w:val="5D46469E"/>
    <w:rsid w:val="5D86262B"/>
    <w:rsid w:val="5E2F0501"/>
    <w:rsid w:val="5E9267AC"/>
    <w:rsid w:val="5EFC4416"/>
    <w:rsid w:val="5FE22FDD"/>
    <w:rsid w:val="60433DF0"/>
    <w:rsid w:val="6048242D"/>
    <w:rsid w:val="60585292"/>
    <w:rsid w:val="607701AC"/>
    <w:rsid w:val="608A6609"/>
    <w:rsid w:val="608C7796"/>
    <w:rsid w:val="60CD0C98"/>
    <w:rsid w:val="60EE28EF"/>
    <w:rsid w:val="61480C3A"/>
    <w:rsid w:val="61502AC6"/>
    <w:rsid w:val="615A2999"/>
    <w:rsid w:val="617213B6"/>
    <w:rsid w:val="6181445A"/>
    <w:rsid w:val="619C08C2"/>
    <w:rsid w:val="61EF4230"/>
    <w:rsid w:val="621E40EB"/>
    <w:rsid w:val="62966DA1"/>
    <w:rsid w:val="62994A80"/>
    <w:rsid w:val="63483123"/>
    <w:rsid w:val="63822E81"/>
    <w:rsid w:val="63907D73"/>
    <w:rsid w:val="63A534F4"/>
    <w:rsid w:val="63B374DF"/>
    <w:rsid w:val="63D3125A"/>
    <w:rsid w:val="641C5084"/>
    <w:rsid w:val="64214AE5"/>
    <w:rsid w:val="646101D2"/>
    <w:rsid w:val="65144EBD"/>
    <w:rsid w:val="655820EC"/>
    <w:rsid w:val="655A5D7E"/>
    <w:rsid w:val="657C753B"/>
    <w:rsid w:val="657D1B52"/>
    <w:rsid w:val="65AB02D0"/>
    <w:rsid w:val="66C904AE"/>
    <w:rsid w:val="66EB549A"/>
    <w:rsid w:val="66EC3434"/>
    <w:rsid w:val="67046EE0"/>
    <w:rsid w:val="67287E43"/>
    <w:rsid w:val="67C50468"/>
    <w:rsid w:val="68064081"/>
    <w:rsid w:val="6813679E"/>
    <w:rsid w:val="68162D2B"/>
    <w:rsid w:val="689720E1"/>
    <w:rsid w:val="68A15E82"/>
    <w:rsid w:val="68BE6600"/>
    <w:rsid w:val="69145549"/>
    <w:rsid w:val="698937D7"/>
    <w:rsid w:val="69B02425"/>
    <w:rsid w:val="69FE190D"/>
    <w:rsid w:val="6A033CF5"/>
    <w:rsid w:val="6ABF7C7B"/>
    <w:rsid w:val="6AEA3D0D"/>
    <w:rsid w:val="6B240788"/>
    <w:rsid w:val="6B2D5D6A"/>
    <w:rsid w:val="6B40663A"/>
    <w:rsid w:val="6BAD42C1"/>
    <w:rsid w:val="6C535343"/>
    <w:rsid w:val="6C5D448C"/>
    <w:rsid w:val="6C866040"/>
    <w:rsid w:val="6C9E0E60"/>
    <w:rsid w:val="6CE95D1F"/>
    <w:rsid w:val="6D0A4B1A"/>
    <w:rsid w:val="6D4318D3"/>
    <w:rsid w:val="6E9A73C6"/>
    <w:rsid w:val="6EEE3AC1"/>
    <w:rsid w:val="6F2A2D4B"/>
    <w:rsid w:val="6FE173AF"/>
    <w:rsid w:val="6FF13869"/>
    <w:rsid w:val="6FF44A4B"/>
    <w:rsid w:val="70F43DA3"/>
    <w:rsid w:val="7121017E"/>
    <w:rsid w:val="71305D34"/>
    <w:rsid w:val="7148570A"/>
    <w:rsid w:val="714A6D87"/>
    <w:rsid w:val="715E76DD"/>
    <w:rsid w:val="71A61200"/>
    <w:rsid w:val="721910BE"/>
    <w:rsid w:val="72976388"/>
    <w:rsid w:val="72B0021B"/>
    <w:rsid w:val="72B77225"/>
    <w:rsid w:val="73063468"/>
    <w:rsid w:val="73291A9C"/>
    <w:rsid w:val="737B4F0D"/>
    <w:rsid w:val="757E794D"/>
    <w:rsid w:val="758A07C7"/>
    <w:rsid w:val="75D71229"/>
    <w:rsid w:val="763E597F"/>
    <w:rsid w:val="7683092C"/>
    <w:rsid w:val="76EF048A"/>
    <w:rsid w:val="780779A0"/>
    <w:rsid w:val="789D1E39"/>
    <w:rsid w:val="791C7D3B"/>
    <w:rsid w:val="797D7F1B"/>
    <w:rsid w:val="799D193E"/>
    <w:rsid w:val="7A0411B8"/>
    <w:rsid w:val="7A395308"/>
    <w:rsid w:val="7A52672F"/>
    <w:rsid w:val="7A590988"/>
    <w:rsid w:val="7A813A77"/>
    <w:rsid w:val="7AF012FB"/>
    <w:rsid w:val="7AF02F1C"/>
    <w:rsid w:val="7BC96777"/>
    <w:rsid w:val="7C105116"/>
    <w:rsid w:val="7C202174"/>
    <w:rsid w:val="7C231B27"/>
    <w:rsid w:val="7C45591E"/>
    <w:rsid w:val="7C5A5FF4"/>
    <w:rsid w:val="7C7953D4"/>
    <w:rsid w:val="7CCC14D9"/>
    <w:rsid w:val="7D0476B9"/>
    <w:rsid w:val="7D1374BC"/>
    <w:rsid w:val="7DE723B3"/>
    <w:rsid w:val="7E4576D5"/>
    <w:rsid w:val="7E7C0C17"/>
    <w:rsid w:val="7E7C7B82"/>
    <w:rsid w:val="7EBC143B"/>
    <w:rsid w:val="7EEA3D31"/>
    <w:rsid w:val="7F201A75"/>
    <w:rsid w:val="7FAC4FAE"/>
    <w:rsid w:val="7FFC3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宋体" w:cs="Times New Roman"/>
      <w:kern w:val="2"/>
      <w:sz w:val="18"/>
      <w:szCs w:val="18"/>
    </w:rPr>
  </w:style>
  <w:style w:type="character" w:customStyle="1" w:styleId="10">
    <w:name w:val="页脚 Char"/>
    <w:basedOn w:val="8"/>
    <w:link w:val="3"/>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8"/>
    <w:link w:val="2"/>
    <w:qFormat/>
    <w:uiPriority w:val="0"/>
    <w:rPr>
      <w:rFonts w:ascii="Times New Roman" w:hAnsi="Times New Roman" w:eastAsia="宋体" w:cs="Times New Roman"/>
      <w:kern w:val="2"/>
      <w:sz w:val="18"/>
      <w:szCs w:val="18"/>
    </w:rPr>
  </w:style>
  <w:style w:type="character" w:customStyle="1" w:styleId="13">
    <w:name w:val="font11"/>
    <w:basedOn w:val="8"/>
    <w:qFormat/>
    <w:uiPriority w:val="0"/>
    <w:rPr>
      <w:rFonts w:hint="eastAsia" w:ascii="仿宋" w:hAnsi="仿宋" w:eastAsia="仿宋" w:cs="仿宋"/>
      <w:color w:val="000000"/>
      <w:sz w:val="24"/>
      <w:szCs w:val="24"/>
      <w:u w:val="none"/>
    </w:rPr>
  </w:style>
  <w:style w:type="character" w:customStyle="1" w:styleId="14">
    <w:name w:val="font61"/>
    <w:basedOn w:val="8"/>
    <w:qFormat/>
    <w:uiPriority w:val="0"/>
    <w:rPr>
      <w:rFonts w:hint="eastAsia" w:ascii="宋体" w:hAnsi="宋体" w:eastAsia="宋体" w:cs="宋体"/>
      <w:color w:val="000000"/>
      <w:sz w:val="24"/>
      <w:szCs w:val="24"/>
      <w:u w:val="none"/>
    </w:rPr>
  </w:style>
  <w:style w:type="character" w:customStyle="1" w:styleId="15">
    <w:name w:val="font31"/>
    <w:basedOn w:val="8"/>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1508</Words>
  <Characters>1664</Characters>
  <Lines>5</Lines>
  <Paragraphs>1</Paragraphs>
  <TotalTime>9</TotalTime>
  <ScaleCrop>false</ScaleCrop>
  <LinksUpToDate>false</LinksUpToDate>
  <CharactersWithSpaces>1695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Neweest</cp:lastModifiedBy>
  <cp:lastPrinted>2026-06-15T02:58:00Z</cp:lastPrinted>
  <dcterms:modified xsi:type="dcterms:W3CDTF">2026-07-06T00:33:55Z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