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0784">
      <w:pPr>
        <w:spacing w:before="312" w:beforeLines="100" w:after="312" w:afterLines="100" w:line="370" w:lineRule="exact"/>
        <w:jc w:val="center"/>
        <w:rPr>
          <w:rFonts w:ascii="方正小标宋简体" w:hAnsi="仿宋" w:eastAsia="方正小标宋简体" w:cstheme="minorBidi"/>
          <w:sz w:val="44"/>
          <w:szCs w:val="44"/>
        </w:rPr>
      </w:pPr>
      <w:r>
        <w:rPr>
          <w:rFonts w:hint="eastAsia" w:ascii="宋体" w:hAnsi="宋体" w:eastAsia="宋体" w:cs="宋体"/>
          <w:sz w:val="44"/>
          <w:szCs w:val="44"/>
        </w:rPr>
        <w:t>医视在线培训平台</w:t>
      </w:r>
      <w:r>
        <w:rPr>
          <w:rFonts w:ascii="宋体" w:hAnsi="宋体" w:eastAsia="宋体" w:cs="宋体"/>
          <w:sz w:val="44"/>
          <w:szCs w:val="44"/>
        </w:rPr>
        <w:t>项目</w:t>
      </w:r>
      <w:r>
        <w:rPr>
          <w:rFonts w:ascii="MS Mincho" w:hAnsi="MS Mincho" w:eastAsia="MS Mincho" w:cs="MS Mincho"/>
          <w:sz w:val="44"/>
          <w:szCs w:val="44"/>
        </w:rPr>
        <w:t>比价方案</w:t>
      </w:r>
    </w:p>
    <w:p w14:paraId="30626573">
      <w:pPr>
        <w:adjustRightInd w:val="0"/>
        <w:spacing w:line="370" w:lineRule="exact"/>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医视在线培训平台项目比价方案</w:t>
      </w:r>
      <w:r>
        <w:rPr>
          <w:rFonts w:ascii="仿宋" w:hAnsi="仿宋" w:eastAsia="仿宋"/>
          <w:b/>
          <w:color w:val="000000" w:themeColor="text1"/>
          <w:sz w:val="28"/>
          <w:szCs w:val="28"/>
          <w14:textFill>
            <w14:solidFill>
              <w14:schemeClr w14:val="tx1"/>
            </w14:solidFill>
          </w14:textFill>
        </w:rPr>
        <w:t>具体要求如下：</w:t>
      </w:r>
    </w:p>
    <w:p w14:paraId="39D1EEAB">
      <w:pPr>
        <w:adjustRightInd w:val="0"/>
        <w:spacing w:line="370" w:lineRule="exact"/>
        <w:ind w:firstLine="562" w:firstLineChars="200"/>
        <w:jc w:val="left"/>
        <w:rPr>
          <w:rFonts w:ascii="仿宋" w:hAnsi="仿宋" w:eastAsia="仿宋"/>
          <w:b/>
          <w:color w:val="000000" w:themeColor="text1"/>
          <w:sz w:val="28"/>
          <w:szCs w:val="28"/>
          <w14:textFill>
            <w14:solidFill>
              <w14:schemeClr w14:val="tx1"/>
            </w14:solidFill>
          </w14:textFill>
        </w:rPr>
      </w:pPr>
    </w:p>
    <w:p w14:paraId="6C0EC81E">
      <w:pPr>
        <w:adjustRightInd w:val="0"/>
        <w:spacing w:line="570" w:lineRule="exact"/>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一、项目概况及要求：</w:t>
      </w:r>
    </w:p>
    <w:p w14:paraId="5A80F8E5">
      <w:pPr>
        <w:spacing w:line="56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医视在线培训平台作为培训班的在线培训管理平台，建立培训项目与课程，向所有经确认的参培人员提供直播与点播相结合的培训模式，并从多个维度数字化展示培训效果，供</w:t>
      </w:r>
      <w:r>
        <w:rPr>
          <w:rFonts w:hint="eastAsia" w:ascii="仿宋" w:hAnsi="仿宋" w:eastAsia="仿宋"/>
          <w:sz w:val="28"/>
          <w:szCs w:val="28"/>
          <w:lang w:eastAsia="zh-CN"/>
        </w:rPr>
        <w:t>院方</w:t>
      </w:r>
      <w:r>
        <w:rPr>
          <w:rFonts w:hint="eastAsia" w:ascii="仿宋" w:hAnsi="仿宋" w:eastAsia="仿宋"/>
          <w:sz w:val="28"/>
          <w:szCs w:val="28"/>
        </w:rPr>
        <w:t>掌握参培师资的学习情况</w:t>
      </w:r>
      <w:r>
        <w:rPr>
          <w:rFonts w:hint="eastAsia" w:ascii="仿宋" w:hAnsi="仿宋" w:eastAsia="仿宋"/>
          <w:sz w:val="28"/>
          <w:szCs w:val="28"/>
          <w:lang w:eastAsia="zh-CN"/>
        </w:rPr>
        <w:t>，具体要求如下：</w:t>
      </w:r>
    </w:p>
    <w:p w14:paraId="17CBAFF4">
      <w:pPr>
        <w:numPr>
          <w:ilvl w:val="0"/>
          <w:numId w:val="1"/>
        </w:numPr>
        <w:spacing w:line="560" w:lineRule="exact"/>
        <w:ind w:left="425" w:leftChars="0" w:hanging="425" w:firstLineChars="0"/>
        <w:jc w:val="left"/>
        <w:rPr>
          <w:rFonts w:hint="eastAsia" w:ascii="仿宋" w:hAnsi="仿宋" w:eastAsia="仿宋"/>
          <w:sz w:val="28"/>
          <w:szCs w:val="28"/>
        </w:rPr>
      </w:pPr>
      <w:r>
        <w:rPr>
          <w:rFonts w:hint="eastAsia" w:ascii="仿宋" w:hAnsi="仿宋" w:eastAsia="仿宋"/>
          <w:sz w:val="28"/>
          <w:szCs w:val="28"/>
          <w:lang w:eastAsia="zh-CN"/>
        </w:rPr>
        <w:t>医院</w:t>
      </w:r>
      <w:r>
        <w:rPr>
          <w:rFonts w:hint="eastAsia" w:ascii="仿宋" w:hAnsi="仿宋" w:eastAsia="仿宋"/>
          <w:sz w:val="28"/>
          <w:szCs w:val="28"/>
        </w:rPr>
        <w:t>指定人员可通过医视在线访问师资培训特约专家录制的师资培训课程库中的由</w:t>
      </w:r>
      <w:r>
        <w:rPr>
          <w:rFonts w:hint="eastAsia" w:ascii="仿宋" w:hAnsi="仿宋" w:eastAsia="仿宋"/>
          <w:sz w:val="28"/>
          <w:szCs w:val="28"/>
          <w:lang w:eastAsia="zh-CN"/>
        </w:rPr>
        <w:t>医院</w:t>
      </w:r>
      <w:r>
        <w:rPr>
          <w:rFonts w:hint="eastAsia" w:ascii="仿宋" w:hAnsi="仿宋" w:eastAsia="仿宋"/>
          <w:sz w:val="28"/>
          <w:szCs w:val="28"/>
        </w:rPr>
        <w:t>选定的课程，选定的课程通过《附件</w:t>
      </w:r>
      <w:r>
        <w:rPr>
          <w:rFonts w:hint="eastAsia" w:ascii="仿宋" w:hAnsi="仿宋" w:eastAsia="仿宋"/>
          <w:sz w:val="28"/>
          <w:szCs w:val="28"/>
          <w:lang w:eastAsia="zh-CN"/>
        </w:rPr>
        <w:t>一</w:t>
      </w:r>
      <w:r>
        <w:rPr>
          <w:rFonts w:hint="eastAsia" w:ascii="仿宋" w:hAnsi="仿宋" w:eastAsia="仿宋"/>
          <w:sz w:val="28"/>
          <w:szCs w:val="28"/>
        </w:rPr>
        <w:t>：选定课程列表》确认；</w:t>
      </w:r>
    </w:p>
    <w:p w14:paraId="21B85CC9">
      <w:pPr>
        <w:numPr>
          <w:ilvl w:val="0"/>
          <w:numId w:val="1"/>
        </w:numPr>
        <w:spacing w:line="560" w:lineRule="exact"/>
        <w:ind w:left="425" w:leftChars="0" w:hanging="425" w:firstLineChars="0"/>
        <w:jc w:val="left"/>
        <w:rPr>
          <w:rFonts w:hint="eastAsia" w:ascii="仿宋" w:hAnsi="仿宋" w:eastAsia="仿宋"/>
          <w:sz w:val="28"/>
          <w:szCs w:val="28"/>
        </w:rPr>
      </w:pPr>
      <w:r>
        <w:rPr>
          <w:rFonts w:hint="eastAsia" w:ascii="仿宋" w:hAnsi="仿宋" w:eastAsia="仿宋"/>
          <w:sz w:val="28"/>
          <w:szCs w:val="28"/>
        </w:rPr>
        <w:t>通过医视在线为</w:t>
      </w:r>
      <w:r>
        <w:rPr>
          <w:rFonts w:hint="eastAsia" w:ascii="仿宋" w:hAnsi="仿宋" w:eastAsia="仿宋"/>
          <w:sz w:val="28"/>
          <w:szCs w:val="28"/>
          <w:lang w:eastAsia="zh-CN"/>
        </w:rPr>
        <w:t>院方</w:t>
      </w:r>
      <w:r>
        <w:rPr>
          <w:rFonts w:hint="eastAsia" w:ascii="仿宋" w:hAnsi="仿宋" w:eastAsia="仿宋"/>
          <w:sz w:val="28"/>
          <w:szCs w:val="28"/>
        </w:rPr>
        <w:t>提供与培训相关的线上考核</w:t>
      </w:r>
      <w:r>
        <w:rPr>
          <w:rFonts w:hint="eastAsia" w:ascii="仿宋" w:hAnsi="仿宋" w:eastAsia="仿宋"/>
          <w:sz w:val="28"/>
          <w:szCs w:val="28"/>
          <w:lang w:val="en-US" w:eastAsia="zh-CN"/>
        </w:rPr>
        <w:t>和证书发放</w:t>
      </w:r>
      <w:r>
        <w:rPr>
          <w:rFonts w:hint="eastAsia" w:ascii="仿宋" w:hAnsi="仿宋" w:eastAsia="仿宋"/>
          <w:sz w:val="28"/>
          <w:szCs w:val="28"/>
        </w:rPr>
        <w:t>；</w:t>
      </w:r>
    </w:p>
    <w:p w14:paraId="16DDB7DC">
      <w:pPr>
        <w:numPr>
          <w:ilvl w:val="0"/>
          <w:numId w:val="1"/>
        </w:numPr>
        <w:spacing w:line="560" w:lineRule="exact"/>
        <w:ind w:left="425" w:leftChars="0" w:hanging="425" w:firstLineChars="0"/>
        <w:jc w:val="left"/>
        <w:rPr>
          <w:rFonts w:hint="eastAsia" w:ascii="仿宋" w:hAnsi="仿宋" w:eastAsia="仿宋"/>
          <w:sz w:val="28"/>
          <w:szCs w:val="28"/>
        </w:rPr>
      </w:pPr>
      <w:r>
        <w:rPr>
          <w:rFonts w:hint="eastAsia" w:ascii="仿宋" w:hAnsi="仿宋" w:eastAsia="仿宋"/>
          <w:sz w:val="28"/>
          <w:szCs w:val="28"/>
        </w:rPr>
        <w:t>为</w:t>
      </w:r>
      <w:r>
        <w:rPr>
          <w:rFonts w:hint="eastAsia" w:ascii="仿宋" w:hAnsi="仿宋" w:eastAsia="仿宋"/>
          <w:sz w:val="28"/>
          <w:szCs w:val="28"/>
          <w:lang w:eastAsia="zh-CN"/>
        </w:rPr>
        <w:t>院</w:t>
      </w:r>
      <w:r>
        <w:rPr>
          <w:rFonts w:hint="eastAsia" w:ascii="仿宋" w:hAnsi="仿宋" w:eastAsia="仿宋"/>
          <w:sz w:val="28"/>
          <w:szCs w:val="28"/>
        </w:rPr>
        <w:t>方提供全程实施服务，包括参培人员信息导入、视频上传、课程创建与设计、项目创建与设计、参培人员指定等，设置400电话解答各种咨询；</w:t>
      </w:r>
    </w:p>
    <w:p w14:paraId="1F683494">
      <w:pPr>
        <w:numPr>
          <w:ilvl w:val="0"/>
          <w:numId w:val="1"/>
        </w:numPr>
        <w:spacing w:line="560" w:lineRule="exact"/>
        <w:ind w:left="425" w:leftChars="0" w:hanging="425" w:firstLineChars="0"/>
        <w:jc w:val="left"/>
        <w:rPr>
          <w:rFonts w:hint="eastAsia" w:ascii="仿宋" w:hAnsi="仿宋" w:eastAsia="仿宋"/>
          <w:sz w:val="28"/>
          <w:szCs w:val="28"/>
          <w:lang w:eastAsia="zh-CN"/>
        </w:rPr>
      </w:pPr>
      <w:r>
        <w:rPr>
          <w:rFonts w:hint="eastAsia" w:ascii="仿宋" w:hAnsi="仿宋" w:eastAsia="仿宋"/>
          <w:sz w:val="28"/>
          <w:szCs w:val="28"/>
          <w:lang w:eastAsia="zh-CN"/>
        </w:rPr>
        <w:t>服务期内提供2场，整体可任选20台课程，培训周期2个月以内。参培人数200人以内。</w:t>
      </w:r>
    </w:p>
    <w:p w14:paraId="2C7B6B72">
      <w:pPr>
        <w:adjustRightInd w:val="0"/>
        <w:spacing w:line="480" w:lineRule="auto"/>
        <w:rPr>
          <w:rFonts w:hint="eastAsia" w:ascii="Calibri" w:hAnsi="Calibri" w:cs="Calibri"/>
          <w:sz w:val="28"/>
          <w:szCs w:val="28"/>
          <w:lang w:eastAsia="zh-CN"/>
        </w:rPr>
      </w:pPr>
    </w:p>
    <w:p w14:paraId="08373BA0">
      <w:pPr>
        <w:pStyle w:val="2"/>
        <w:rPr>
          <w:rFonts w:hint="eastAsia"/>
          <w:lang w:eastAsia="zh-CN"/>
        </w:rPr>
      </w:pPr>
    </w:p>
    <w:p w14:paraId="6D9D080C">
      <w:pPr>
        <w:adjustRightInd w:val="0"/>
        <w:spacing w:line="560" w:lineRule="exact"/>
        <w:rPr>
          <w:rFonts w:ascii="仿宋" w:hAnsi="仿宋" w:eastAsia="仿宋" w:cs="宋体"/>
          <w:b/>
          <w:kern w:val="0"/>
          <w:sz w:val="28"/>
          <w:szCs w:val="28"/>
        </w:rPr>
      </w:pPr>
      <w:r>
        <w:rPr>
          <w:rFonts w:hint="eastAsia" w:ascii="仿宋" w:hAnsi="仿宋" w:eastAsia="仿宋" w:cs="宋体"/>
          <w:b/>
          <w:kern w:val="0"/>
          <w:sz w:val="28"/>
          <w:szCs w:val="28"/>
        </w:rPr>
        <w:t>二、需提供材料：</w:t>
      </w:r>
    </w:p>
    <w:p w14:paraId="2A3C9903">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1.具有独立承担民事责任的能力（提供法人或者其他组织的营业执照，供应商如果是自然人的提供其身份证）；</w:t>
      </w:r>
    </w:p>
    <w:p w14:paraId="65523594">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 具有履行合同所必需的设备和专业技术能力（根据项目需求提供履行合同所必需的设备和专业技术能力的证明材料或承诺函）；</w:t>
      </w:r>
    </w:p>
    <w:p w14:paraId="1D5E3C2B">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 参加本次采购活动前三年在经营活动中没有重大违法记录（提供参加本次采购活动前3年内在经营活动中没有重大违法记录的书面声明）；</w:t>
      </w:r>
    </w:p>
    <w:p w14:paraId="2D7952B6">
      <w:pPr>
        <w:tabs>
          <w:tab w:val="left" w:pos="0"/>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4. 比价人须提供法定代表人授权书原件、法定代表人身份证复印件、授权代表身份证复印件。（如果是法定代表人直接参与比价的可以不提供授权书）。</w:t>
      </w:r>
    </w:p>
    <w:p w14:paraId="71BAD2F6">
      <w:pPr>
        <w:tabs>
          <w:tab w:val="left" w:pos="0"/>
        </w:tabs>
        <w:spacing w:line="560" w:lineRule="exact"/>
        <w:jc w:val="left"/>
        <w:rPr>
          <w:rFonts w:ascii="仿宋" w:hAnsi="仿宋" w:eastAsia="仿宋"/>
          <w:sz w:val="28"/>
          <w:szCs w:val="28"/>
        </w:rPr>
      </w:pPr>
      <w:r>
        <w:rPr>
          <w:rFonts w:hint="eastAsia" w:ascii="仿宋" w:hAnsi="仿宋" w:eastAsia="仿宋"/>
          <w:b/>
          <w:color w:val="000000" w:themeColor="text1"/>
          <w:sz w:val="28"/>
          <w:szCs w:val="28"/>
          <w14:textFill>
            <w14:solidFill>
              <w14:schemeClr w14:val="tx1"/>
            </w14:solidFill>
          </w14:textFill>
        </w:rPr>
        <w:t>三</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交付</w:t>
      </w:r>
      <w:r>
        <w:rPr>
          <w:rFonts w:ascii="仿宋" w:hAnsi="仿宋" w:eastAsia="仿宋"/>
          <w:b/>
          <w:color w:val="000000" w:themeColor="text1"/>
          <w:sz w:val="28"/>
          <w:szCs w:val="28"/>
          <w14:textFill>
            <w14:solidFill>
              <w14:schemeClr w14:val="tx1"/>
            </w14:solidFill>
          </w14:textFill>
        </w:rPr>
        <w:t>期</w:t>
      </w:r>
      <w:r>
        <w:rPr>
          <w:rFonts w:hint="eastAsia" w:ascii="仿宋" w:hAnsi="仿宋" w:eastAsia="仿宋"/>
          <w:b/>
          <w:color w:val="000000" w:themeColor="text1"/>
          <w:sz w:val="28"/>
          <w:szCs w:val="28"/>
          <w14:textFill>
            <w14:solidFill>
              <w14:schemeClr w14:val="tx1"/>
            </w14:solidFill>
          </w14:textFill>
        </w:rPr>
        <w:t>、</w:t>
      </w:r>
      <w:r>
        <w:rPr>
          <w:rFonts w:ascii="仿宋" w:hAnsi="仿宋" w:eastAsia="仿宋"/>
          <w:b/>
          <w:color w:val="000000" w:themeColor="text1"/>
          <w:sz w:val="28"/>
          <w:szCs w:val="28"/>
          <w14:textFill>
            <w14:solidFill>
              <w14:schemeClr w14:val="tx1"/>
            </w14:solidFill>
          </w14:textFill>
        </w:rPr>
        <w:t>报价</w:t>
      </w:r>
      <w:r>
        <w:rPr>
          <w:rFonts w:hint="eastAsia" w:ascii="仿宋" w:hAnsi="仿宋" w:eastAsia="仿宋"/>
          <w:b/>
          <w:color w:val="000000" w:themeColor="text1"/>
          <w:sz w:val="28"/>
          <w:szCs w:val="28"/>
          <w14:textFill>
            <w14:solidFill>
              <w14:schemeClr w14:val="tx1"/>
            </w14:solidFill>
          </w14:textFill>
        </w:rPr>
        <w:t>方案、付款方式及特殊情况说明：</w:t>
      </w:r>
    </w:p>
    <w:p w14:paraId="223A2C42">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1.交付期：按行业规范实施，服从院方安排，交付期为15天（以签订合同之日起计）</w:t>
      </w:r>
      <w:r>
        <w:rPr>
          <w:rFonts w:hint="eastAsia" w:ascii="仿宋" w:hAnsi="仿宋" w:eastAsia="仿宋"/>
          <w:sz w:val="28"/>
          <w:szCs w:val="28"/>
        </w:rPr>
        <w:t>。</w:t>
      </w:r>
    </w:p>
    <w:p w14:paraId="2AE89EB6">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2.报价方案：具体费用由比价单位自行报价。</w:t>
      </w:r>
    </w:p>
    <w:p w14:paraId="6EA8AEA6">
      <w:pPr>
        <w:adjustRightInd w:val="0"/>
        <w:spacing w:line="560" w:lineRule="exact"/>
        <w:ind w:firstLine="560" w:firstLineChars="200"/>
        <w:jc w:val="left"/>
        <w:rPr>
          <w:rFonts w:ascii="仿宋" w:hAnsi="仿宋" w:eastAsia="仿宋" w:cs="宋体"/>
          <w:color w:val="FF0000"/>
          <w:kern w:val="0"/>
          <w:sz w:val="28"/>
          <w:szCs w:val="28"/>
        </w:rPr>
      </w:pPr>
      <w:r>
        <w:rPr>
          <w:rFonts w:hint="eastAsia" w:ascii="仿宋" w:hAnsi="仿宋" w:eastAsia="仿宋" w:cs="宋体"/>
          <w:kern w:val="0"/>
          <w:sz w:val="28"/>
          <w:szCs w:val="28"/>
        </w:rPr>
        <w:t>3.付款方式：</w:t>
      </w:r>
      <w:r>
        <w:rPr>
          <w:rFonts w:hint="eastAsia" w:ascii="仿宋" w:hAnsi="仿宋" w:eastAsia="仿宋"/>
          <w:color w:val="000000"/>
          <w:sz w:val="28"/>
          <w:szCs w:val="28"/>
        </w:rPr>
        <w:t>验收合格后，一次性付清全款</w:t>
      </w:r>
      <w:r>
        <w:rPr>
          <w:rFonts w:hint="eastAsia" w:ascii="仿宋" w:hAnsi="仿宋" w:eastAsia="仿宋"/>
          <w:color w:val="000000"/>
          <w:sz w:val="28"/>
          <w:szCs w:val="28"/>
          <w:lang w:eastAsia="zh-CN"/>
        </w:rPr>
        <w:t>（按年度付费）</w:t>
      </w:r>
      <w:r>
        <w:rPr>
          <w:rFonts w:hint="eastAsia" w:ascii="仿宋" w:hAnsi="仿宋" w:eastAsia="仿宋"/>
          <w:color w:val="000000"/>
          <w:sz w:val="28"/>
          <w:szCs w:val="28"/>
        </w:rPr>
        <w:t>。</w:t>
      </w:r>
      <w:r>
        <w:rPr>
          <w:rFonts w:ascii="仿宋" w:hAnsi="仿宋" w:eastAsia="仿宋" w:cs="宋体"/>
          <w:color w:val="FF0000"/>
          <w:kern w:val="0"/>
          <w:sz w:val="28"/>
          <w:szCs w:val="28"/>
        </w:rPr>
        <w:t xml:space="preserve"> </w:t>
      </w:r>
    </w:p>
    <w:p w14:paraId="10EF6741">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4.特殊情况说明：如中选单位无法满足院方需求整改超过三次的，院方有权单方面解除合同。</w:t>
      </w:r>
    </w:p>
    <w:p w14:paraId="271DC4DF">
      <w:pPr>
        <w:adjustRightInd w:val="0"/>
        <w:spacing w:line="560" w:lineRule="exact"/>
        <w:ind w:firstLine="562" w:firstLineChars="2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w:t>
      </w:r>
      <w:r>
        <w:rPr>
          <w:rFonts w:hint="eastAsia" w:ascii="仿宋" w:hAnsi="仿宋" w:eastAsia="仿宋"/>
          <w:b/>
          <w:color w:val="000000" w:themeColor="text1"/>
          <w:sz w:val="28"/>
          <w:szCs w:val="28"/>
          <w14:textFill>
            <w14:solidFill>
              <w14:schemeClr w14:val="tx1"/>
            </w14:solidFill>
          </w14:textFill>
        </w:rPr>
        <w:t>资格审查方式及特殊情况说明：</w:t>
      </w:r>
    </w:p>
    <w:p w14:paraId="497B16AB">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1.本次采用资格后审方式。</w:t>
      </w:r>
    </w:p>
    <w:p w14:paraId="47D6F382">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2.本次比价采用最低价法。</w:t>
      </w:r>
    </w:p>
    <w:p w14:paraId="259F5559">
      <w:pPr>
        <w:adjustRightInd w:val="0"/>
        <w:spacing w:line="360" w:lineRule="auto"/>
        <w:jc w:val="left"/>
        <w:rPr>
          <w:rFonts w:ascii="仿宋" w:hAnsi="仿宋" w:eastAsia="仿宋"/>
          <w:color w:val="000000" w:themeColor="text1"/>
          <w:sz w:val="32"/>
          <w14:textFill>
            <w14:solidFill>
              <w14:schemeClr w14:val="tx1"/>
            </w14:solidFill>
          </w14:textFill>
        </w:rPr>
      </w:pPr>
    </w:p>
    <w:p w14:paraId="6F89A6BD">
      <w:pPr>
        <w:pStyle w:val="2"/>
        <w:rPr>
          <w:rFonts w:hint="eastAsia" w:ascii="Calibri" w:hAnsi="Calibri" w:cs="Calibri"/>
          <w:sz w:val="28"/>
          <w:szCs w:val="28"/>
          <w:lang w:eastAsia="zh-CN"/>
        </w:rPr>
      </w:pPr>
    </w:p>
    <w:p w14:paraId="36CEAEB2">
      <w:pPr>
        <w:pStyle w:val="2"/>
        <w:rPr>
          <w:rFonts w:hint="eastAsia" w:ascii="Calibri" w:hAnsi="Calibri" w:cs="Calibri"/>
          <w:sz w:val="28"/>
          <w:szCs w:val="28"/>
          <w:lang w:eastAsia="zh-CN"/>
        </w:rPr>
      </w:pPr>
    </w:p>
    <w:p w14:paraId="4C569023">
      <w:pPr>
        <w:pStyle w:val="2"/>
        <w:rPr>
          <w:rFonts w:hint="eastAsia" w:ascii="Calibri" w:hAnsi="Calibri" w:cs="Calibri"/>
          <w:sz w:val="28"/>
          <w:szCs w:val="28"/>
          <w:lang w:eastAsia="zh-CN"/>
        </w:rPr>
      </w:pPr>
    </w:p>
    <w:p w14:paraId="144C756B">
      <w:pPr>
        <w:pStyle w:val="2"/>
        <w:rPr>
          <w:rFonts w:hint="eastAsia" w:ascii="Calibri" w:hAnsi="Calibri" w:cs="Calibri"/>
          <w:sz w:val="28"/>
          <w:szCs w:val="28"/>
          <w:lang w:eastAsia="zh-CN"/>
        </w:rPr>
      </w:pPr>
    </w:p>
    <w:p w14:paraId="1CB87A8D">
      <w:pPr>
        <w:pStyle w:val="2"/>
        <w:rPr>
          <w:rFonts w:hint="eastAsia" w:ascii="Calibri" w:hAnsi="Calibri" w:cs="Calibri"/>
          <w:sz w:val="28"/>
          <w:szCs w:val="28"/>
          <w:lang w:eastAsia="zh-CN"/>
        </w:rPr>
      </w:pPr>
    </w:p>
    <w:p w14:paraId="4DDD631C">
      <w:pPr>
        <w:pStyle w:val="2"/>
        <w:rPr>
          <w:rFonts w:hint="eastAsia" w:ascii="Calibri" w:hAnsi="Calibri" w:cs="Calibri"/>
          <w:sz w:val="28"/>
          <w:szCs w:val="28"/>
          <w:lang w:eastAsia="zh-CN"/>
        </w:rPr>
      </w:pPr>
    </w:p>
    <w:p w14:paraId="3800C6CD">
      <w:pPr>
        <w:spacing w:line="360" w:lineRule="auto"/>
        <w:jc w:val="left"/>
        <w:rPr>
          <w:rFonts w:hint="eastAsia" w:ascii="宋体" w:hAnsi="宋体" w:cs="宋体"/>
          <w:b/>
          <w:bCs/>
          <w:color w:val="auto"/>
          <w:kern w:val="0"/>
          <w:szCs w:val="21"/>
        </w:rPr>
      </w:pPr>
      <w:r>
        <w:rPr>
          <w:rFonts w:hint="eastAsia" w:ascii="宋体" w:hAnsi="宋体" w:cs="宋体"/>
          <w:b/>
          <w:bCs/>
          <w:color w:val="auto"/>
          <w:kern w:val="0"/>
          <w:szCs w:val="21"/>
        </w:rPr>
        <w:t>附件</w:t>
      </w:r>
      <w:r>
        <w:rPr>
          <w:rFonts w:hint="eastAsia" w:ascii="宋体" w:hAnsi="宋体" w:cs="宋体"/>
          <w:b/>
          <w:bCs/>
          <w:color w:val="auto"/>
          <w:kern w:val="0"/>
          <w:szCs w:val="21"/>
          <w:lang w:eastAsia="zh-CN"/>
        </w:rPr>
        <w:t>一</w:t>
      </w:r>
      <w:r>
        <w:rPr>
          <w:rFonts w:hint="eastAsia" w:ascii="宋体" w:hAnsi="宋体" w:cs="宋体"/>
          <w:b/>
          <w:bCs/>
          <w:color w:val="auto"/>
          <w:kern w:val="0"/>
          <w:szCs w:val="21"/>
        </w:rPr>
        <w:t>：</w:t>
      </w:r>
    </w:p>
    <w:p w14:paraId="23EB0666">
      <w:pPr>
        <w:widowControl/>
        <w:jc w:val="center"/>
        <w:rPr>
          <w:rFonts w:hint="eastAsia" w:ascii="宋体" w:hAnsi="宋体" w:cs="宋体"/>
          <w:b/>
          <w:bCs/>
          <w:color w:val="auto"/>
          <w:kern w:val="0"/>
          <w:sz w:val="28"/>
          <w:szCs w:val="28"/>
        </w:rPr>
      </w:pPr>
      <w:r>
        <w:rPr>
          <w:rFonts w:hint="eastAsia" w:ascii="宋体" w:hAnsi="宋体" w:cs="宋体"/>
          <w:b/>
          <w:color w:val="auto"/>
          <w:sz w:val="28"/>
          <w:szCs w:val="28"/>
        </w:rPr>
        <w:t>“医视在线”</w:t>
      </w:r>
      <w:r>
        <w:rPr>
          <w:rFonts w:hint="eastAsia" w:ascii="宋体" w:hAnsi="宋体" w:cs="宋体"/>
          <w:b/>
          <w:bCs/>
          <w:color w:val="auto"/>
          <w:kern w:val="0"/>
          <w:sz w:val="28"/>
          <w:szCs w:val="28"/>
        </w:rPr>
        <w:t>选定课程列表</w:t>
      </w:r>
    </w:p>
    <w:tbl>
      <w:tblPr>
        <w:tblStyle w:val="14"/>
        <w:tblW w:w="9180" w:type="dxa"/>
        <w:tblInd w:w="0" w:type="dxa"/>
        <w:tblLayout w:type="fixed"/>
        <w:tblCellMar>
          <w:top w:w="0" w:type="dxa"/>
          <w:left w:w="108" w:type="dxa"/>
          <w:bottom w:w="0" w:type="dxa"/>
          <w:right w:w="108" w:type="dxa"/>
        </w:tblCellMar>
      </w:tblPr>
      <w:tblGrid>
        <w:gridCol w:w="9180"/>
      </w:tblGrid>
      <w:tr w14:paraId="2A95F2C2">
        <w:trPr>
          <w:trHeight w:val="3303" w:hRule="atLeast"/>
        </w:trPr>
        <w:tc>
          <w:tcPr>
            <w:tcW w:w="9180" w:type="dxa"/>
            <w:tcBorders>
              <w:top w:val="nil"/>
              <w:left w:val="nil"/>
              <w:bottom w:val="nil"/>
              <w:right w:val="nil"/>
            </w:tcBorders>
            <w:noWrap w:val="0"/>
            <w:vAlign w:val="center"/>
          </w:tcPr>
          <w:tbl>
            <w:tblPr>
              <w:tblStyle w:val="14"/>
              <w:tblW w:w="0" w:type="auto"/>
              <w:jc w:val="center"/>
              <w:tblLayout w:type="fixed"/>
              <w:tblCellMar>
                <w:top w:w="0" w:type="dxa"/>
                <w:left w:w="108" w:type="dxa"/>
                <w:bottom w:w="0" w:type="dxa"/>
                <w:right w:w="108" w:type="dxa"/>
              </w:tblCellMar>
            </w:tblPr>
            <w:tblGrid>
              <w:gridCol w:w="1060"/>
              <w:gridCol w:w="1480"/>
              <w:gridCol w:w="1146"/>
              <w:gridCol w:w="920"/>
              <w:gridCol w:w="850"/>
              <w:gridCol w:w="985"/>
              <w:gridCol w:w="1088"/>
              <w:gridCol w:w="638"/>
            </w:tblGrid>
            <w:tr w14:paraId="77DADCB5">
              <w:trPr>
                <w:trHeight w:val="629" w:hRule="atLeast"/>
                <w:jc w:val="center"/>
              </w:trPr>
              <w:tc>
                <w:tcPr>
                  <w:tcW w:w="1060" w:type="dxa"/>
                  <w:vMerge w:val="restart"/>
                  <w:tcBorders>
                    <w:top w:val="single" w:color="auto" w:sz="4" w:space="0"/>
                    <w:left w:val="single" w:color="auto" w:sz="4" w:space="0"/>
                    <w:right w:val="nil"/>
                  </w:tcBorders>
                  <w:noWrap w:val="0"/>
                  <w:vAlign w:val="center"/>
                </w:tcPr>
                <w:p w14:paraId="2B10913B">
                  <w:pPr>
                    <w:widowControl/>
                    <w:jc w:val="left"/>
                    <w:rPr>
                      <w:rFonts w:hint="eastAsia" w:ascii="宋体" w:hAnsi="宋体" w:cs="宋体"/>
                      <w:b/>
                      <w:bCs/>
                      <w:color w:val="auto"/>
                      <w:kern w:val="0"/>
                      <w:szCs w:val="21"/>
                    </w:rPr>
                  </w:pPr>
                  <w:r>
                    <w:rPr>
                      <w:rFonts w:hint="eastAsia" w:ascii="宋体" w:hAnsi="宋体" w:cs="宋体"/>
                      <w:b/>
                      <w:bCs/>
                      <w:color w:val="auto"/>
                      <w:kern w:val="0"/>
                      <w:szCs w:val="21"/>
                    </w:rPr>
                    <w:t>产品描述</w:t>
                  </w:r>
                </w:p>
              </w:tc>
              <w:tc>
                <w:tcPr>
                  <w:tcW w:w="1480" w:type="dxa"/>
                  <w:vMerge w:val="restart"/>
                  <w:tcBorders>
                    <w:top w:val="single" w:color="auto" w:sz="4" w:space="0"/>
                    <w:left w:val="single" w:color="auto" w:sz="4" w:space="0"/>
                    <w:bottom w:val="single" w:color="000000" w:sz="4" w:space="0"/>
                    <w:right w:val="single" w:color="auto" w:sz="4" w:space="0"/>
                    <w:tl2br w:val="single" w:color="000000" w:sz="4" w:space="0"/>
                  </w:tcBorders>
                  <w:noWrap w:val="0"/>
                  <w:vAlign w:val="center"/>
                </w:tcPr>
                <w:p w14:paraId="308CDF94">
                  <w:pPr>
                    <w:widowControl/>
                    <w:ind w:firstLine="420" w:firstLineChars="200"/>
                    <w:jc w:val="left"/>
                    <w:rPr>
                      <w:rFonts w:hint="eastAsia" w:ascii="宋体" w:hAnsi="宋体" w:cs="宋体"/>
                      <w:b/>
                      <w:bCs/>
                      <w:color w:val="auto"/>
                      <w:kern w:val="0"/>
                      <w:szCs w:val="21"/>
                    </w:rPr>
                  </w:pPr>
                  <w:r>
                    <w:rPr>
                      <w:rFonts w:hint="eastAsia" w:ascii="宋体" w:hAnsi="宋体" w:cs="宋体"/>
                      <w:b/>
                      <w:bCs/>
                      <w:color w:val="auto"/>
                      <w:kern w:val="0"/>
                      <w:szCs w:val="21"/>
                    </w:rPr>
                    <w:t>学科分类</w:t>
                  </w:r>
                </w:p>
                <w:p w14:paraId="24E79245">
                  <w:pPr>
                    <w:widowControl/>
                    <w:jc w:val="left"/>
                    <w:rPr>
                      <w:rFonts w:hint="eastAsia" w:ascii="宋体" w:hAnsi="宋体" w:cs="宋体"/>
                      <w:b/>
                      <w:bCs/>
                      <w:color w:val="auto"/>
                      <w:kern w:val="0"/>
                      <w:szCs w:val="21"/>
                    </w:rPr>
                  </w:pPr>
                </w:p>
                <w:p w14:paraId="0F7E7B6D">
                  <w:pPr>
                    <w:widowControl/>
                    <w:jc w:val="left"/>
                    <w:rPr>
                      <w:rFonts w:hint="eastAsia" w:ascii="宋体" w:hAnsi="宋体" w:cs="宋体"/>
                      <w:b/>
                      <w:bCs/>
                      <w:color w:val="auto"/>
                      <w:kern w:val="0"/>
                      <w:szCs w:val="21"/>
                    </w:rPr>
                  </w:pPr>
                  <w:r>
                    <w:rPr>
                      <w:rFonts w:hint="eastAsia" w:ascii="宋体" w:hAnsi="宋体" w:cs="宋体"/>
                      <w:b/>
                      <w:bCs/>
                      <w:color w:val="auto"/>
                      <w:kern w:val="0"/>
                      <w:szCs w:val="21"/>
                    </w:rPr>
                    <w:t>产品名称</w:t>
                  </w:r>
                </w:p>
              </w:tc>
              <w:tc>
                <w:tcPr>
                  <w:tcW w:w="3901" w:type="dxa"/>
                  <w:gridSpan w:val="4"/>
                  <w:tcBorders>
                    <w:top w:val="single" w:color="auto" w:sz="4" w:space="0"/>
                    <w:left w:val="nil"/>
                    <w:bottom w:val="single" w:color="auto" w:sz="4" w:space="0"/>
                    <w:right w:val="single" w:color="auto" w:sz="4" w:space="0"/>
                  </w:tcBorders>
                  <w:noWrap w:val="0"/>
                  <w:vAlign w:val="center"/>
                </w:tcPr>
                <w:p w14:paraId="2195A744">
                  <w:pPr>
                    <w:widowControl/>
                    <w:ind w:firstLine="1050" w:firstLineChars="500"/>
                    <w:jc w:val="left"/>
                    <w:rPr>
                      <w:rFonts w:hint="eastAsia" w:ascii="宋体" w:hAnsi="宋体" w:cs="宋体"/>
                      <w:color w:val="auto"/>
                      <w:kern w:val="0"/>
                      <w:szCs w:val="21"/>
                    </w:rPr>
                  </w:pPr>
                  <w:r>
                    <w:rPr>
                      <w:rFonts w:hint="eastAsia" w:ascii="宋体" w:hAnsi="宋体" w:cs="宋体"/>
                      <w:color w:val="auto"/>
                      <w:kern w:val="0"/>
                      <w:szCs w:val="21"/>
                    </w:rPr>
                    <w:t>产品属性</w:t>
                  </w:r>
                </w:p>
              </w:tc>
              <w:tc>
                <w:tcPr>
                  <w:tcW w:w="1088" w:type="dxa"/>
                  <w:tcBorders>
                    <w:top w:val="single" w:color="auto" w:sz="4" w:space="0"/>
                    <w:left w:val="nil"/>
                    <w:bottom w:val="single" w:color="auto" w:sz="4" w:space="0"/>
                    <w:right w:val="single" w:color="auto" w:sz="4" w:space="0"/>
                  </w:tcBorders>
                  <w:noWrap w:val="0"/>
                  <w:vAlign w:val="center"/>
                </w:tcPr>
                <w:p w14:paraId="50247A83">
                  <w:pPr>
                    <w:widowControl/>
                    <w:jc w:val="left"/>
                    <w:rPr>
                      <w:rFonts w:hint="eastAsia" w:ascii="宋体" w:hAnsi="宋体" w:cs="宋体"/>
                      <w:color w:val="auto"/>
                      <w:kern w:val="0"/>
                      <w:szCs w:val="21"/>
                    </w:rPr>
                  </w:pPr>
                  <w:r>
                    <w:rPr>
                      <w:rFonts w:hint="eastAsia" w:ascii="宋体" w:hAnsi="宋体" w:cs="宋体"/>
                      <w:color w:val="auto"/>
                      <w:kern w:val="0"/>
                      <w:szCs w:val="21"/>
                    </w:rPr>
                    <w:t>服务模式</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14:paraId="3866C898">
                  <w:pPr>
                    <w:widowControl/>
                    <w:jc w:val="left"/>
                    <w:rPr>
                      <w:rFonts w:hint="eastAsia" w:ascii="宋体" w:hAnsi="宋体" w:cs="宋体"/>
                      <w:color w:val="auto"/>
                      <w:kern w:val="0"/>
                      <w:szCs w:val="21"/>
                    </w:rPr>
                  </w:pPr>
                  <w:r>
                    <w:rPr>
                      <w:rFonts w:hint="eastAsia" w:ascii="宋体" w:hAnsi="宋体" w:cs="宋体"/>
                      <w:color w:val="auto"/>
                      <w:kern w:val="0"/>
                      <w:szCs w:val="21"/>
                    </w:rPr>
                    <w:t>备注</w:t>
                  </w:r>
                </w:p>
              </w:tc>
            </w:tr>
            <w:tr w14:paraId="5EC138B4">
              <w:trPr>
                <w:trHeight w:val="626" w:hRule="atLeast"/>
                <w:jc w:val="center"/>
              </w:trPr>
              <w:tc>
                <w:tcPr>
                  <w:tcW w:w="1060" w:type="dxa"/>
                  <w:vMerge w:val="continue"/>
                  <w:tcBorders>
                    <w:left w:val="single" w:color="auto" w:sz="4" w:space="0"/>
                    <w:right w:val="nil"/>
                  </w:tcBorders>
                  <w:noWrap w:val="0"/>
                  <w:vAlign w:val="center"/>
                </w:tcPr>
                <w:p w14:paraId="1FF99EC6">
                  <w:pPr>
                    <w:widowControl/>
                    <w:jc w:val="left"/>
                    <w:rPr>
                      <w:rFonts w:hint="eastAsia" w:ascii="宋体" w:hAnsi="宋体" w:cs="宋体"/>
                      <w:b/>
                      <w:bCs/>
                      <w:color w:val="auto"/>
                      <w:kern w:val="0"/>
                      <w:szCs w:val="21"/>
                    </w:rPr>
                  </w:pPr>
                </w:p>
              </w:tc>
              <w:tc>
                <w:tcPr>
                  <w:tcW w:w="1480" w:type="dxa"/>
                  <w:vMerge w:val="continue"/>
                  <w:tcBorders>
                    <w:top w:val="single" w:color="000000" w:sz="4" w:space="0"/>
                    <w:left w:val="single" w:color="auto" w:sz="4" w:space="0"/>
                    <w:bottom w:val="single" w:color="000000" w:sz="4" w:space="0"/>
                    <w:right w:val="single" w:color="auto" w:sz="4" w:space="0"/>
                    <w:tl2br w:val="single" w:color="000000" w:sz="4" w:space="0"/>
                  </w:tcBorders>
                  <w:noWrap w:val="0"/>
                  <w:vAlign w:val="center"/>
                </w:tcPr>
                <w:p w14:paraId="5E3A09A6">
                  <w:pPr>
                    <w:widowControl/>
                    <w:jc w:val="left"/>
                    <w:rPr>
                      <w:rFonts w:hint="eastAsia" w:ascii="宋体" w:hAnsi="宋体" w:cs="宋体"/>
                      <w:b/>
                      <w:bCs/>
                      <w:color w:val="auto"/>
                      <w:kern w:val="0"/>
                      <w:szCs w:val="21"/>
                    </w:rPr>
                  </w:pPr>
                </w:p>
              </w:tc>
              <w:tc>
                <w:tcPr>
                  <w:tcW w:w="1146" w:type="dxa"/>
                  <w:tcBorders>
                    <w:top w:val="single" w:color="auto" w:sz="4" w:space="0"/>
                    <w:left w:val="nil"/>
                    <w:bottom w:val="single" w:color="auto" w:sz="4" w:space="0"/>
                    <w:right w:val="single" w:color="auto" w:sz="4" w:space="0"/>
                  </w:tcBorders>
                  <w:noWrap w:val="0"/>
                  <w:vAlign w:val="center"/>
                </w:tcPr>
                <w:p w14:paraId="75E6244D">
                  <w:pPr>
                    <w:widowControl/>
                    <w:jc w:val="center"/>
                    <w:rPr>
                      <w:rFonts w:hint="eastAsia" w:ascii="宋体" w:hAnsi="宋体" w:cs="宋体"/>
                      <w:color w:val="auto"/>
                      <w:kern w:val="0"/>
                      <w:szCs w:val="21"/>
                    </w:rPr>
                  </w:pPr>
                  <w:r>
                    <w:rPr>
                      <w:rFonts w:hint="eastAsia" w:ascii="宋体" w:hAnsi="宋体" w:cs="宋体"/>
                      <w:color w:val="auto"/>
                      <w:kern w:val="0"/>
                      <w:szCs w:val="21"/>
                    </w:rPr>
                    <w:t>使用期限</w:t>
                  </w:r>
                </w:p>
              </w:tc>
              <w:tc>
                <w:tcPr>
                  <w:tcW w:w="920" w:type="dxa"/>
                  <w:tcBorders>
                    <w:top w:val="nil"/>
                    <w:left w:val="nil"/>
                    <w:bottom w:val="single" w:color="auto" w:sz="4" w:space="0"/>
                    <w:right w:val="single" w:color="auto" w:sz="4" w:space="0"/>
                  </w:tcBorders>
                  <w:noWrap w:val="0"/>
                  <w:vAlign w:val="center"/>
                </w:tcPr>
                <w:p w14:paraId="73364309">
                  <w:pPr>
                    <w:widowControl/>
                    <w:jc w:val="center"/>
                    <w:rPr>
                      <w:rFonts w:hint="eastAsia" w:ascii="宋体" w:hAnsi="宋体" w:cs="宋体"/>
                      <w:color w:val="auto"/>
                      <w:kern w:val="0"/>
                      <w:szCs w:val="21"/>
                    </w:rPr>
                  </w:pPr>
                  <w:r>
                    <w:rPr>
                      <w:rFonts w:hint="eastAsia" w:ascii="宋体" w:hAnsi="宋体" w:cs="宋体"/>
                      <w:color w:val="auto"/>
                      <w:kern w:val="0"/>
                      <w:szCs w:val="21"/>
                    </w:rPr>
                    <w:t>版本</w:t>
                  </w:r>
                </w:p>
              </w:tc>
              <w:tc>
                <w:tcPr>
                  <w:tcW w:w="850" w:type="dxa"/>
                  <w:tcBorders>
                    <w:top w:val="nil"/>
                    <w:left w:val="nil"/>
                    <w:bottom w:val="single" w:color="auto" w:sz="4" w:space="0"/>
                    <w:right w:val="single" w:color="auto" w:sz="4" w:space="0"/>
                  </w:tcBorders>
                  <w:noWrap w:val="0"/>
                  <w:vAlign w:val="center"/>
                </w:tcPr>
                <w:p w14:paraId="2EE2BD47">
                  <w:pPr>
                    <w:widowControl/>
                    <w:jc w:val="center"/>
                    <w:rPr>
                      <w:rFonts w:hint="eastAsia" w:ascii="宋体" w:hAnsi="宋体" w:cs="宋体"/>
                      <w:color w:val="auto"/>
                      <w:kern w:val="0"/>
                      <w:szCs w:val="21"/>
                    </w:rPr>
                  </w:pPr>
                  <w:r>
                    <w:rPr>
                      <w:rFonts w:hint="eastAsia" w:ascii="宋体" w:hAnsi="宋体" w:cs="宋体"/>
                      <w:color w:val="auto"/>
                      <w:kern w:val="0"/>
                      <w:szCs w:val="21"/>
                    </w:rPr>
                    <w:t>数量</w:t>
                  </w:r>
                </w:p>
              </w:tc>
              <w:tc>
                <w:tcPr>
                  <w:tcW w:w="985" w:type="dxa"/>
                  <w:tcBorders>
                    <w:top w:val="nil"/>
                    <w:left w:val="nil"/>
                    <w:bottom w:val="single" w:color="auto" w:sz="4" w:space="0"/>
                    <w:right w:val="single" w:color="auto" w:sz="4" w:space="0"/>
                  </w:tcBorders>
                  <w:noWrap w:val="0"/>
                  <w:vAlign w:val="center"/>
                </w:tcPr>
                <w:p w14:paraId="59C0869F">
                  <w:pPr>
                    <w:widowControl/>
                    <w:jc w:val="center"/>
                    <w:rPr>
                      <w:rFonts w:hint="eastAsia" w:ascii="宋体" w:hAnsi="宋体" w:cs="宋体"/>
                      <w:color w:val="auto"/>
                      <w:kern w:val="0"/>
                      <w:szCs w:val="21"/>
                    </w:rPr>
                  </w:pPr>
                  <w:r>
                    <w:rPr>
                      <w:rFonts w:hint="eastAsia" w:ascii="宋体" w:hAnsi="宋体" w:cs="宋体"/>
                      <w:color w:val="auto"/>
                      <w:kern w:val="0"/>
                      <w:szCs w:val="21"/>
                    </w:rPr>
                    <w:t>并发数</w:t>
                  </w:r>
                </w:p>
              </w:tc>
              <w:tc>
                <w:tcPr>
                  <w:tcW w:w="1088" w:type="dxa"/>
                  <w:tcBorders>
                    <w:top w:val="nil"/>
                    <w:left w:val="nil"/>
                    <w:bottom w:val="single" w:color="auto" w:sz="4" w:space="0"/>
                    <w:right w:val="single" w:color="auto" w:sz="4" w:space="0"/>
                  </w:tcBorders>
                  <w:noWrap w:val="0"/>
                  <w:vAlign w:val="center"/>
                </w:tcPr>
                <w:p w14:paraId="43894B8E">
                  <w:pPr>
                    <w:widowControl/>
                    <w:jc w:val="left"/>
                    <w:rPr>
                      <w:rFonts w:hint="eastAsia" w:ascii="宋体" w:hAnsi="宋体" w:cs="宋体"/>
                      <w:color w:val="auto"/>
                      <w:kern w:val="0"/>
                      <w:szCs w:val="21"/>
                    </w:rPr>
                  </w:pPr>
                  <w:r>
                    <w:rPr>
                      <w:rFonts w:hint="eastAsia" w:ascii="宋体" w:hAnsi="宋体" w:cs="宋体"/>
                      <w:color w:val="auto"/>
                      <w:kern w:val="0"/>
                      <w:szCs w:val="21"/>
                    </w:rPr>
                    <w:t>互联网版</w:t>
                  </w: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14:paraId="662F7F87">
                  <w:pPr>
                    <w:widowControl/>
                    <w:jc w:val="left"/>
                    <w:rPr>
                      <w:rFonts w:hint="eastAsia" w:ascii="宋体" w:hAnsi="宋体" w:cs="宋体"/>
                      <w:color w:val="auto"/>
                      <w:kern w:val="0"/>
                      <w:szCs w:val="21"/>
                    </w:rPr>
                  </w:pPr>
                </w:p>
              </w:tc>
            </w:tr>
            <w:tr w14:paraId="518CA2B9">
              <w:trPr>
                <w:trHeight w:val="621" w:hRule="atLeast"/>
                <w:jc w:val="center"/>
              </w:trPr>
              <w:tc>
                <w:tcPr>
                  <w:tcW w:w="1060" w:type="dxa"/>
                  <w:vMerge w:val="continue"/>
                  <w:tcBorders>
                    <w:left w:val="single" w:color="auto" w:sz="4" w:space="0"/>
                    <w:bottom w:val="single" w:color="auto" w:sz="4" w:space="0"/>
                    <w:right w:val="single" w:color="auto" w:sz="4" w:space="0"/>
                  </w:tcBorders>
                  <w:noWrap w:val="0"/>
                  <w:vAlign w:val="center"/>
                </w:tcPr>
                <w:p w14:paraId="19EBFEDC">
                  <w:pPr>
                    <w:widowControl/>
                    <w:jc w:val="left"/>
                    <w:rPr>
                      <w:rFonts w:hint="eastAsia" w:ascii="宋体" w:hAnsi="宋体" w:cs="宋体"/>
                      <w:color w:val="auto"/>
                      <w:kern w:val="0"/>
                      <w:szCs w:val="21"/>
                    </w:rPr>
                  </w:pPr>
                </w:p>
              </w:tc>
              <w:tc>
                <w:tcPr>
                  <w:tcW w:w="1480" w:type="dxa"/>
                  <w:tcBorders>
                    <w:top w:val="nil"/>
                    <w:left w:val="nil"/>
                    <w:bottom w:val="single" w:color="auto" w:sz="4" w:space="0"/>
                    <w:right w:val="single" w:color="auto" w:sz="4" w:space="0"/>
                  </w:tcBorders>
                  <w:noWrap w:val="0"/>
                  <w:vAlign w:val="center"/>
                </w:tcPr>
                <w:p w14:paraId="5E5461A8">
                  <w:pPr>
                    <w:widowControl/>
                    <w:jc w:val="left"/>
                    <w:rPr>
                      <w:rFonts w:hint="eastAsia" w:ascii="宋体" w:hAnsi="宋体" w:cs="宋体"/>
                      <w:color w:val="auto"/>
                      <w:kern w:val="0"/>
                      <w:szCs w:val="21"/>
                    </w:rPr>
                  </w:pPr>
                  <w:r>
                    <w:rPr>
                      <w:rFonts w:hint="eastAsia" w:ascii="宋体" w:hAnsi="宋体" w:cs="宋体"/>
                      <w:color w:val="auto"/>
                      <w:kern w:val="0"/>
                      <w:szCs w:val="21"/>
                    </w:rPr>
                    <w:t>医视在线平台</w:t>
                  </w:r>
                </w:p>
              </w:tc>
              <w:tc>
                <w:tcPr>
                  <w:tcW w:w="1146" w:type="dxa"/>
                  <w:tcBorders>
                    <w:top w:val="single" w:color="auto" w:sz="4" w:space="0"/>
                    <w:left w:val="nil"/>
                    <w:bottom w:val="single" w:color="auto" w:sz="4" w:space="0"/>
                    <w:right w:val="single" w:color="auto" w:sz="4" w:space="0"/>
                  </w:tcBorders>
                  <w:noWrap w:val="0"/>
                  <w:vAlign w:val="center"/>
                </w:tcPr>
                <w:p w14:paraId="1812D827">
                  <w:pPr>
                    <w:widowControl/>
                    <w:jc w:val="center"/>
                    <w:rPr>
                      <w:rFonts w:ascii="宋体" w:hAnsi="宋体" w:cs="宋体"/>
                      <w:color w:val="auto"/>
                      <w:kern w:val="0"/>
                      <w:szCs w:val="21"/>
                      <w:u w:val="single"/>
                    </w:rPr>
                  </w:pPr>
                  <w:r>
                    <w:rPr>
                      <w:rFonts w:hint="eastAsia" w:ascii="宋体" w:hAnsi="宋体" w:cs="宋体"/>
                      <w:color w:val="auto"/>
                      <w:kern w:val="0"/>
                      <w:szCs w:val="21"/>
                      <w:u w:val="single"/>
                      <w:lang w:val="en-US" w:eastAsia="zh-CN"/>
                    </w:rPr>
                    <w:t>2</w:t>
                  </w:r>
                  <w:r>
                    <w:rPr>
                      <w:rFonts w:hint="eastAsia" w:ascii="宋体" w:hAnsi="宋体" w:cs="宋体"/>
                      <w:color w:val="auto"/>
                      <w:kern w:val="0"/>
                      <w:szCs w:val="21"/>
                    </w:rPr>
                    <w:t>个月</w:t>
                  </w:r>
                </w:p>
              </w:tc>
              <w:tc>
                <w:tcPr>
                  <w:tcW w:w="920" w:type="dxa"/>
                  <w:tcBorders>
                    <w:top w:val="nil"/>
                    <w:left w:val="nil"/>
                    <w:bottom w:val="single" w:color="auto" w:sz="4" w:space="0"/>
                    <w:right w:val="single" w:color="auto" w:sz="4" w:space="0"/>
                  </w:tcBorders>
                  <w:noWrap w:val="0"/>
                  <w:vAlign w:val="center"/>
                </w:tcPr>
                <w:p w14:paraId="3B8EE515">
                  <w:pPr>
                    <w:widowControl/>
                    <w:jc w:val="center"/>
                    <w:rPr>
                      <w:rFonts w:hint="eastAsia" w:ascii="宋体" w:hAnsi="宋体" w:cs="宋体"/>
                      <w:color w:val="auto"/>
                      <w:kern w:val="0"/>
                      <w:szCs w:val="21"/>
                    </w:rPr>
                  </w:pPr>
                  <w:r>
                    <w:rPr>
                      <w:rFonts w:hint="eastAsia" w:ascii="宋体" w:hAnsi="宋体" w:cs="宋体"/>
                      <w:color w:val="auto"/>
                      <w:kern w:val="0"/>
                      <w:szCs w:val="21"/>
                    </w:rPr>
                    <w:t>高清</w:t>
                  </w:r>
                </w:p>
              </w:tc>
              <w:tc>
                <w:tcPr>
                  <w:tcW w:w="850" w:type="dxa"/>
                  <w:tcBorders>
                    <w:top w:val="nil"/>
                    <w:left w:val="nil"/>
                    <w:bottom w:val="single" w:color="auto" w:sz="4" w:space="0"/>
                    <w:right w:val="single" w:color="auto" w:sz="4" w:space="0"/>
                  </w:tcBorders>
                  <w:noWrap w:val="0"/>
                  <w:vAlign w:val="center"/>
                </w:tcPr>
                <w:p w14:paraId="52AEFB99">
                  <w:pPr>
                    <w:widowControl/>
                    <w:ind w:left="210" w:hanging="210" w:hangingChars="100"/>
                    <w:jc w:val="center"/>
                    <w:rPr>
                      <w:rFonts w:hint="eastAsia" w:ascii="宋体" w:hAnsi="宋体" w:cs="宋体"/>
                      <w:color w:val="auto"/>
                      <w:kern w:val="0"/>
                      <w:szCs w:val="21"/>
                    </w:rPr>
                  </w:pPr>
                  <w:r>
                    <w:rPr>
                      <w:rFonts w:hint="eastAsia" w:ascii="宋体" w:hAnsi="宋体" w:cs="宋体"/>
                      <w:color w:val="auto"/>
                      <w:kern w:val="0"/>
                      <w:szCs w:val="21"/>
                      <w:u w:val="single"/>
                      <w:lang w:val="en-US" w:eastAsia="zh-CN"/>
                    </w:rPr>
                    <w:t>18</w:t>
                  </w:r>
                  <w:r>
                    <w:rPr>
                      <w:rFonts w:hint="eastAsia" w:ascii="宋体" w:hAnsi="宋体" w:cs="宋体"/>
                      <w:color w:val="auto"/>
                      <w:kern w:val="0"/>
                      <w:szCs w:val="21"/>
                    </w:rPr>
                    <w:t>台</w:t>
                  </w:r>
                </w:p>
              </w:tc>
              <w:tc>
                <w:tcPr>
                  <w:tcW w:w="985" w:type="dxa"/>
                  <w:tcBorders>
                    <w:top w:val="nil"/>
                    <w:left w:val="nil"/>
                    <w:bottom w:val="single" w:color="auto" w:sz="4" w:space="0"/>
                    <w:right w:val="single" w:color="auto" w:sz="4" w:space="0"/>
                  </w:tcBorders>
                  <w:noWrap w:val="0"/>
                  <w:vAlign w:val="center"/>
                </w:tcPr>
                <w:p w14:paraId="4C779C13">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200</w:t>
                  </w:r>
                </w:p>
              </w:tc>
              <w:tc>
                <w:tcPr>
                  <w:tcW w:w="1088" w:type="dxa"/>
                  <w:tcBorders>
                    <w:top w:val="nil"/>
                    <w:left w:val="nil"/>
                    <w:bottom w:val="single" w:color="auto" w:sz="4" w:space="0"/>
                    <w:right w:val="single" w:color="auto" w:sz="4" w:space="0"/>
                  </w:tcBorders>
                  <w:noWrap w:val="0"/>
                  <w:vAlign w:val="center"/>
                </w:tcPr>
                <w:p w14:paraId="123C0B35">
                  <w:pPr>
                    <w:widowControl/>
                    <w:jc w:val="left"/>
                    <w:rPr>
                      <w:rFonts w:hint="eastAsia" w:ascii="宋体" w:hAnsi="宋体" w:cs="宋体"/>
                      <w:color w:val="auto"/>
                      <w:kern w:val="0"/>
                      <w:szCs w:val="21"/>
                    </w:rPr>
                  </w:pPr>
                  <w:r>
                    <w:rPr>
                      <w:rFonts w:hint="eastAsia" w:ascii="宋体" w:hAnsi="宋体" w:cs="宋体"/>
                      <w:color w:val="auto"/>
                      <w:kern w:val="0"/>
                      <w:szCs w:val="21"/>
                    </w:rPr>
                    <w:t xml:space="preserve"> ■ </w:t>
                  </w:r>
                </w:p>
              </w:tc>
              <w:tc>
                <w:tcPr>
                  <w:tcW w:w="638" w:type="dxa"/>
                  <w:tcBorders>
                    <w:top w:val="nil"/>
                    <w:left w:val="nil"/>
                    <w:bottom w:val="single" w:color="auto" w:sz="4" w:space="0"/>
                    <w:right w:val="single" w:color="auto" w:sz="4" w:space="0"/>
                  </w:tcBorders>
                  <w:noWrap w:val="0"/>
                  <w:vAlign w:val="center"/>
                </w:tcPr>
                <w:p w14:paraId="35150E4B">
                  <w:pPr>
                    <w:widowControl/>
                    <w:jc w:val="left"/>
                    <w:rPr>
                      <w:rFonts w:hint="eastAsia" w:ascii="宋体" w:hAnsi="宋体" w:cs="宋体"/>
                      <w:color w:val="auto"/>
                      <w:kern w:val="0"/>
                      <w:szCs w:val="21"/>
                    </w:rPr>
                  </w:pPr>
                  <w:r>
                    <w:rPr>
                      <w:rFonts w:hint="eastAsia" w:ascii="宋体" w:hAnsi="宋体" w:cs="宋体"/>
                      <w:color w:val="auto"/>
                      <w:kern w:val="0"/>
                      <w:szCs w:val="21"/>
                    </w:rPr>
                    <w:t xml:space="preserve">     </w:t>
                  </w:r>
                </w:p>
              </w:tc>
            </w:tr>
            <w:tr w14:paraId="3F9E1C87">
              <w:trPr>
                <w:trHeight w:val="531"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74FFFCF9">
                  <w:pPr>
                    <w:widowControl/>
                    <w:jc w:val="center"/>
                    <w:rPr>
                      <w:rFonts w:hint="eastAsia" w:ascii="宋体" w:hAnsi="宋体" w:cs="宋体"/>
                      <w:b/>
                      <w:color w:val="auto"/>
                      <w:kern w:val="0"/>
                      <w:szCs w:val="21"/>
                    </w:rPr>
                  </w:pPr>
                  <w:r>
                    <w:rPr>
                      <w:rFonts w:hint="eastAsia" w:ascii="宋体" w:hAnsi="宋体" w:cs="宋体"/>
                      <w:b/>
                      <w:color w:val="auto"/>
                      <w:kern w:val="0"/>
                      <w:szCs w:val="21"/>
                    </w:rPr>
                    <w:t>视频编号</w:t>
                  </w:r>
                </w:p>
              </w:tc>
              <w:tc>
                <w:tcPr>
                  <w:tcW w:w="4989" w:type="dxa"/>
                  <w:gridSpan w:val="5"/>
                  <w:tcBorders>
                    <w:top w:val="single" w:color="auto" w:sz="4" w:space="0"/>
                    <w:left w:val="nil"/>
                    <w:bottom w:val="single" w:color="auto" w:sz="4" w:space="0"/>
                    <w:right w:val="nil"/>
                  </w:tcBorders>
                  <w:noWrap w:val="0"/>
                  <w:vAlign w:val="center"/>
                </w:tcPr>
                <w:p w14:paraId="29DF69D4">
                  <w:pPr>
                    <w:widowControl/>
                    <w:jc w:val="center"/>
                    <w:rPr>
                      <w:rFonts w:hint="eastAsia" w:ascii="宋体" w:hAnsi="宋体" w:cs="宋体"/>
                      <w:b/>
                      <w:color w:val="auto"/>
                      <w:kern w:val="0"/>
                      <w:szCs w:val="21"/>
                    </w:rPr>
                  </w:pPr>
                  <w:r>
                    <w:rPr>
                      <w:rFonts w:hint="eastAsia" w:ascii="宋体" w:hAnsi="宋体" w:cs="宋体"/>
                      <w:b/>
                      <w:color w:val="auto"/>
                      <w:kern w:val="0"/>
                      <w:szCs w:val="21"/>
                    </w:rPr>
                    <w:t>视频名称</w:t>
                  </w:r>
                </w:p>
              </w:tc>
              <w:tc>
                <w:tcPr>
                  <w:tcW w:w="638" w:type="dxa"/>
                  <w:tcBorders>
                    <w:top w:val="nil"/>
                    <w:left w:val="single" w:color="auto" w:sz="4" w:space="0"/>
                    <w:bottom w:val="single" w:color="auto" w:sz="4" w:space="0"/>
                    <w:right w:val="single" w:color="auto" w:sz="4" w:space="0"/>
                  </w:tcBorders>
                  <w:noWrap w:val="0"/>
                  <w:vAlign w:val="center"/>
                </w:tcPr>
                <w:p w14:paraId="000CCECB">
                  <w:pPr>
                    <w:widowControl/>
                    <w:jc w:val="left"/>
                    <w:rPr>
                      <w:rFonts w:hint="eastAsia" w:ascii="宋体" w:hAnsi="宋体" w:cs="宋体"/>
                      <w:b/>
                      <w:color w:val="auto"/>
                      <w:kern w:val="0"/>
                      <w:szCs w:val="21"/>
                    </w:rPr>
                  </w:pPr>
                  <w:r>
                    <w:rPr>
                      <w:rFonts w:hint="eastAsia" w:ascii="宋体" w:hAnsi="宋体" w:cs="宋体"/>
                      <w:b/>
                      <w:color w:val="auto"/>
                      <w:kern w:val="0"/>
                      <w:szCs w:val="21"/>
                    </w:rPr>
                    <w:t>备注</w:t>
                  </w:r>
                </w:p>
              </w:tc>
            </w:tr>
            <w:tr w14:paraId="0936A7AA">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0000D8E0">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20220183</w:t>
                  </w:r>
                </w:p>
              </w:tc>
              <w:tc>
                <w:tcPr>
                  <w:tcW w:w="4989" w:type="dxa"/>
                  <w:gridSpan w:val="5"/>
                  <w:tcBorders>
                    <w:top w:val="single" w:color="auto" w:sz="4" w:space="0"/>
                    <w:left w:val="nil"/>
                    <w:bottom w:val="single" w:color="auto" w:sz="4" w:space="0"/>
                    <w:right w:val="nil"/>
                  </w:tcBorders>
                  <w:noWrap w:val="0"/>
                  <w:vAlign w:val="center"/>
                </w:tcPr>
                <w:p w14:paraId="6FF9484E">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PDCA在住院医师规范化培训质量管理中的运用</w:t>
                  </w:r>
                </w:p>
              </w:tc>
              <w:tc>
                <w:tcPr>
                  <w:tcW w:w="638" w:type="dxa"/>
                  <w:tcBorders>
                    <w:top w:val="nil"/>
                    <w:left w:val="single" w:color="auto" w:sz="4" w:space="0"/>
                    <w:bottom w:val="single" w:color="auto" w:sz="4" w:space="0"/>
                    <w:right w:val="single" w:color="auto" w:sz="4" w:space="0"/>
                  </w:tcBorders>
                  <w:noWrap w:val="0"/>
                  <w:vAlign w:val="center"/>
                </w:tcPr>
                <w:p w14:paraId="09C2ABA3">
                  <w:pPr>
                    <w:widowControl/>
                    <w:jc w:val="left"/>
                    <w:rPr>
                      <w:rFonts w:hint="eastAsia" w:ascii="宋体" w:hAnsi="宋体" w:cs="宋体"/>
                      <w:color w:val="auto"/>
                      <w:kern w:val="0"/>
                      <w:sz w:val="15"/>
                      <w:szCs w:val="15"/>
                    </w:rPr>
                  </w:pPr>
                  <w:r>
                    <w:rPr>
                      <w:rFonts w:hint="eastAsia" w:ascii="宋体" w:hAnsi="宋体" w:cs="宋体"/>
                      <w:color w:val="auto"/>
                      <w:kern w:val="0"/>
                      <w:sz w:val="15"/>
                      <w:szCs w:val="15"/>
                    </w:rPr>
                    <w:t>例</w:t>
                  </w:r>
                </w:p>
              </w:tc>
            </w:tr>
            <w:tr w14:paraId="2F4F1098">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6F337483">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20220274</w:t>
                  </w:r>
                </w:p>
              </w:tc>
              <w:tc>
                <w:tcPr>
                  <w:tcW w:w="4989" w:type="dxa"/>
                  <w:gridSpan w:val="5"/>
                  <w:tcBorders>
                    <w:top w:val="single" w:color="auto" w:sz="4" w:space="0"/>
                    <w:left w:val="nil"/>
                    <w:bottom w:val="single" w:color="auto" w:sz="4" w:space="0"/>
                    <w:right w:val="nil"/>
                  </w:tcBorders>
                  <w:noWrap w:val="0"/>
                  <w:vAlign w:val="center"/>
                </w:tcPr>
                <w:p w14:paraId="1D9A7D43">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住院医师规范化培训国家政策解读</w:t>
                  </w:r>
                </w:p>
              </w:tc>
              <w:tc>
                <w:tcPr>
                  <w:tcW w:w="638" w:type="dxa"/>
                  <w:tcBorders>
                    <w:top w:val="nil"/>
                    <w:left w:val="single" w:color="auto" w:sz="4" w:space="0"/>
                    <w:bottom w:val="single" w:color="auto" w:sz="4" w:space="0"/>
                    <w:right w:val="single" w:color="auto" w:sz="4" w:space="0"/>
                  </w:tcBorders>
                  <w:noWrap w:val="0"/>
                  <w:vAlign w:val="center"/>
                </w:tcPr>
                <w:p w14:paraId="5E76ECFB">
                  <w:pPr>
                    <w:widowControl/>
                    <w:jc w:val="left"/>
                    <w:rPr>
                      <w:rFonts w:hint="eastAsia" w:ascii="宋体" w:hAnsi="宋体" w:cs="宋体"/>
                      <w:color w:val="auto"/>
                      <w:kern w:val="0"/>
                      <w:sz w:val="15"/>
                      <w:szCs w:val="15"/>
                    </w:rPr>
                  </w:pPr>
                </w:p>
              </w:tc>
            </w:tr>
            <w:tr w14:paraId="785F62E0">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0A1D6CFE">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20220704</w:t>
                  </w:r>
                </w:p>
              </w:tc>
              <w:tc>
                <w:tcPr>
                  <w:tcW w:w="4989" w:type="dxa"/>
                  <w:gridSpan w:val="5"/>
                  <w:tcBorders>
                    <w:top w:val="single" w:color="auto" w:sz="4" w:space="0"/>
                    <w:left w:val="nil"/>
                    <w:bottom w:val="single" w:color="auto" w:sz="4" w:space="0"/>
                    <w:right w:val="nil"/>
                  </w:tcBorders>
                  <w:noWrap w:val="0"/>
                  <w:vAlign w:val="center"/>
                </w:tcPr>
                <w:p w14:paraId="30700CCE">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《住院医师规范化培训临床小讲课指南（2021年版）》解读</w:t>
                  </w:r>
                </w:p>
              </w:tc>
              <w:tc>
                <w:tcPr>
                  <w:tcW w:w="638" w:type="dxa"/>
                  <w:tcBorders>
                    <w:top w:val="nil"/>
                    <w:left w:val="single" w:color="auto" w:sz="4" w:space="0"/>
                    <w:bottom w:val="single" w:color="auto" w:sz="4" w:space="0"/>
                    <w:right w:val="single" w:color="auto" w:sz="4" w:space="0"/>
                  </w:tcBorders>
                  <w:noWrap w:val="0"/>
                  <w:vAlign w:val="center"/>
                </w:tcPr>
                <w:p w14:paraId="5157DDB0">
                  <w:pPr>
                    <w:widowControl/>
                    <w:jc w:val="left"/>
                    <w:rPr>
                      <w:rFonts w:hint="eastAsia" w:ascii="宋体" w:hAnsi="宋体" w:cs="宋体"/>
                      <w:color w:val="auto"/>
                      <w:kern w:val="0"/>
                      <w:sz w:val="15"/>
                      <w:szCs w:val="15"/>
                    </w:rPr>
                  </w:pPr>
                </w:p>
              </w:tc>
            </w:tr>
            <w:tr w14:paraId="0028BC9D">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78DD8F9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20220563</w:t>
                  </w:r>
                </w:p>
              </w:tc>
              <w:tc>
                <w:tcPr>
                  <w:tcW w:w="4989" w:type="dxa"/>
                  <w:gridSpan w:val="5"/>
                  <w:tcBorders>
                    <w:top w:val="single" w:color="auto" w:sz="4" w:space="0"/>
                    <w:left w:val="nil"/>
                    <w:bottom w:val="single" w:color="auto" w:sz="4" w:space="0"/>
                    <w:right w:val="nil"/>
                  </w:tcBorders>
                  <w:noWrap w:val="0"/>
                  <w:vAlign w:val="center"/>
                </w:tcPr>
                <w:p w14:paraId="24A4B11E">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2021版教学查房指南解读</w:t>
                  </w:r>
                </w:p>
              </w:tc>
              <w:tc>
                <w:tcPr>
                  <w:tcW w:w="638" w:type="dxa"/>
                  <w:tcBorders>
                    <w:top w:val="nil"/>
                    <w:left w:val="single" w:color="auto" w:sz="4" w:space="0"/>
                    <w:bottom w:val="single" w:color="auto" w:sz="4" w:space="0"/>
                    <w:right w:val="single" w:color="auto" w:sz="4" w:space="0"/>
                  </w:tcBorders>
                  <w:noWrap w:val="0"/>
                  <w:vAlign w:val="center"/>
                </w:tcPr>
                <w:p w14:paraId="4CC69215">
                  <w:pPr>
                    <w:widowControl/>
                    <w:jc w:val="left"/>
                    <w:rPr>
                      <w:rFonts w:hint="eastAsia" w:ascii="宋体" w:hAnsi="宋体" w:cs="宋体"/>
                      <w:color w:val="auto"/>
                      <w:kern w:val="0"/>
                      <w:sz w:val="15"/>
                      <w:szCs w:val="15"/>
                    </w:rPr>
                  </w:pPr>
                </w:p>
              </w:tc>
            </w:tr>
            <w:tr w14:paraId="7A97BAF5">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17ACFC69">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20221064</w:t>
                  </w:r>
                </w:p>
              </w:tc>
              <w:tc>
                <w:tcPr>
                  <w:tcW w:w="4989" w:type="dxa"/>
                  <w:gridSpan w:val="5"/>
                  <w:tcBorders>
                    <w:top w:val="single" w:color="auto" w:sz="4" w:space="0"/>
                    <w:left w:val="nil"/>
                    <w:bottom w:val="single" w:color="auto" w:sz="4" w:space="0"/>
                    <w:right w:val="nil"/>
                  </w:tcBorders>
                  <w:noWrap w:val="0"/>
                  <w:vAlign w:val="center"/>
                </w:tcPr>
                <w:p w14:paraId="21522615">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入专业基地教育相关要点及理解-基于入专业基地教育指南解读</w:t>
                  </w:r>
                </w:p>
              </w:tc>
              <w:tc>
                <w:tcPr>
                  <w:tcW w:w="638" w:type="dxa"/>
                  <w:tcBorders>
                    <w:top w:val="nil"/>
                    <w:left w:val="single" w:color="auto" w:sz="4" w:space="0"/>
                    <w:bottom w:val="single" w:color="auto" w:sz="4" w:space="0"/>
                    <w:right w:val="single" w:color="auto" w:sz="4" w:space="0"/>
                  </w:tcBorders>
                  <w:noWrap w:val="0"/>
                  <w:vAlign w:val="center"/>
                </w:tcPr>
                <w:p w14:paraId="65508744">
                  <w:pPr>
                    <w:widowControl/>
                    <w:jc w:val="left"/>
                    <w:rPr>
                      <w:rFonts w:hint="eastAsia" w:ascii="宋体" w:hAnsi="宋体" w:cs="宋体"/>
                      <w:color w:val="auto"/>
                      <w:kern w:val="0"/>
                      <w:sz w:val="15"/>
                      <w:szCs w:val="15"/>
                    </w:rPr>
                  </w:pPr>
                </w:p>
              </w:tc>
            </w:tr>
            <w:tr w14:paraId="4A2CE76B">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35BFA741">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20221066</w:t>
                  </w:r>
                </w:p>
              </w:tc>
              <w:tc>
                <w:tcPr>
                  <w:tcW w:w="4989" w:type="dxa"/>
                  <w:gridSpan w:val="5"/>
                  <w:tcBorders>
                    <w:top w:val="single" w:color="auto" w:sz="4" w:space="0"/>
                    <w:left w:val="nil"/>
                    <w:bottom w:val="single" w:color="auto" w:sz="4" w:space="0"/>
                    <w:right w:val="nil"/>
                  </w:tcBorders>
                  <w:noWrap w:val="0"/>
                  <w:vAlign w:val="center"/>
                </w:tcPr>
                <w:p w14:paraId="04CF0384">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入轮转科室（入科）教育相关要求及理解-基于指南的解读</w:t>
                  </w:r>
                </w:p>
              </w:tc>
              <w:tc>
                <w:tcPr>
                  <w:tcW w:w="638" w:type="dxa"/>
                  <w:tcBorders>
                    <w:top w:val="nil"/>
                    <w:left w:val="single" w:color="auto" w:sz="4" w:space="0"/>
                    <w:bottom w:val="single" w:color="auto" w:sz="4" w:space="0"/>
                    <w:right w:val="single" w:color="auto" w:sz="4" w:space="0"/>
                  </w:tcBorders>
                  <w:noWrap w:val="0"/>
                  <w:vAlign w:val="center"/>
                </w:tcPr>
                <w:p w14:paraId="0C146559">
                  <w:pPr>
                    <w:widowControl/>
                    <w:jc w:val="left"/>
                    <w:rPr>
                      <w:rFonts w:hint="eastAsia" w:ascii="宋体" w:hAnsi="宋体" w:cs="宋体"/>
                      <w:color w:val="auto"/>
                      <w:kern w:val="0"/>
                      <w:sz w:val="15"/>
                      <w:szCs w:val="15"/>
                    </w:rPr>
                  </w:pPr>
                </w:p>
              </w:tc>
            </w:tr>
            <w:tr w14:paraId="45A002FC">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2A26B9E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20220460</w:t>
                  </w:r>
                </w:p>
              </w:tc>
              <w:tc>
                <w:tcPr>
                  <w:tcW w:w="4989" w:type="dxa"/>
                  <w:gridSpan w:val="5"/>
                  <w:tcBorders>
                    <w:top w:val="single" w:color="auto" w:sz="4" w:space="0"/>
                    <w:left w:val="nil"/>
                    <w:bottom w:val="single" w:color="auto" w:sz="4" w:space="0"/>
                    <w:right w:val="nil"/>
                  </w:tcBorders>
                  <w:noWrap w:val="0"/>
                  <w:vAlign w:val="center"/>
                </w:tcPr>
                <w:p w14:paraId="6A1076BD">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如何开展医学模拟教学</w:t>
                  </w:r>
                </w:p>
              </w:tc>
              <w:tc>
                <w:tcPr>
                  <w:tcW w:w="638" w:type="dxa"/>
                  <w:tcBorders>
                    <w:top w:val="nil"/>
                    <w:left w:val="single" w:color="auto" w:sz="4" w:space="0"/>
                    <w:bottom w:val="single" w:color="auto" w:sz="4" w:space="0"/>
                    <w:right w:val="single" w:color="auto" w:sz="4" w:space="0"/>
                  </w:tcBorders>
                  <w:noWrap w:val="0"/>
                  <w:vAlign w:val="center"/>
                </w:tcPr>
                <w:p w14:paraId="2D8A082E">
                  <w:pPr>
                    <w:widowControl/>
                    <w:jc w:val="left"/>
                    <w:rPr>
                      <w:rFonts w:hint="eastAsia" w:ascii="宋体" w:hAnsi="宋体" w:cs="宋体"/>
                      <w:color w:val="auto"/>
                      <w:kern w:val="0"/>
                      <w:sz w:val="15"/>
                      <w:szCs w:val="15"/>
                    </w:rPr>
                  </w:pPr>
                </w:p>
              </w:tc>
            </w:tr>
            <w:tr w14:paraId="13FA1516">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4AF1C325">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20230328</w:t>
                  </w:r>
                </w:p>
              </w:tc>
              <w:tc>
                <w:tcPr>
                  <w:tcW w:w="4989" w:type="dxa"/>
                  <w:gridSpan w:val="5"/>
                  <w:tcBorders>
                    <w:top w:val="single" w:color="auto" w:sz="4" w:space="0"/>
                    <w:left w:val="nil"/>
                    <w:bottom w:val="single" w:color="auto" w:sz="4" w:space="0"/>
                    <w:right w:val="nil"/>
                  </w:tcBorders>
                  <w:noWrap w:val="0"/>
                  <w:vAlign w:val="center"/>
                </w:tcPr>
                <w:p w14:paraId="1DD94E14">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如何做好教学查房</w:t>
                  </w:r>
                </w:p>
              </w:tc>
              <w:tc>
                <w:tcPr>
                  <w:tcW w:w="638" w:type="dxa"/>
                  <w:tcBorders>
                    <w:top w:val="nil"/>
                    <w:left w:val="single" w:color="auto" w:sz="4" w:space="0"/>
                    <w:bottom w:val="single" w:color="auto" w:sz="4" w:space="0"/>
                    <w:right w:val="single" w:color="auto" w:sz="4" w:space="0"/>
                  </w:tcBorders>
                  <w:noWrap w:val="0"/>
                  <w:vAlign w:val="center"/>
                </w:tcPr>
                <w:p w14:paraId="56749237">
                  <w:pPr>
                    <w:widowControl/>
                    <w:jc w:val="left"/>
                    <w:rPr>
                      <w:rFonts w:hint="eastAsia" w:ascii="宋体" w:hAnsi="宋体" w:cs="宋体"/>
                      <w:color w:val="auto"/>
                      <w:kern w:val="0"/>
                      <w:sz w:val="15"/>
                      <w:szCs w:val="15"/>
                    </w:rPr>
                  </w:pPr>
                </w:p>
              </w:tc>
            </w:tr>
            <w:tr w14:paraId="6E4972C4">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6E8243AB">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20230549</w:t>
                  </w:r>
                </w:p>
              </w:tc>
              <w:tc>
                <w:tcPr>
                  <w:tcW w:w="4989" w:type="dxa"/>
                  <w:gridSpan w:val="5"/>
                  <w:tcBorders>
                    <w:top w:val="single" w:color="auto" w:sz="4" w:space="0"/>
                    <w:left w:val="nil"/>
                    <w:bottom w:val="single" w:color="auto" w:sz="4" w:space="0"/>
                    <w:right w:val="nil"/>
                  </w:tcBorders>
                  <w:noWrap w:val="0"/>
                  <w:vAlign w:val="center"/>
                </w:tcPr>
                <w:p w14:paraId="52C2DAA6">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如何做好临床小讲课</w:t>
                  </w:r>
                </w:p>
              </w:tc>
              <w:tc>
                <w:tcPr>
                  <w:tcW w:w="638" w:type="dxa"/>
                  <w:tcBorders>
                    <w:top w:val="nil"/>
                    <w:left w:val="single" w:color="auto" w:sz="4" w:space="0"/>
                    <w:bottom w:val="single" w:color="auto" w:sz="4" w:space="0"/>
                    <w:right w:val="single" w:color="auto" w:sz="4" w:space="0"/>
                  </w:tcBorders>
                  <w:noWrap w:val="0"/>
                  <w:vAlign w:val="center"/>
                </w:tcPr>
                <w:p w14:paraId="5C8E4327">
                  <w:pPr>
                    <w:widowControl/>
                    <w:jc w:val="left"/>
                    <w:rPr>
                      <w:rFonts w:hint="eastAsia" w:ascii="宋体" w:hAnsi="宋体" w:cs="宋体"/>
                      <w:color w:val="auto"/>
                      <w:kern w:val="0"/>
                      <w:sz w:val="15"/>
                      <w:szCs w:val="15"/>
                    </w:rPr>
                  </w:pPr>
                </w:p>
              </w:tc>
            </w:tr>
            <w:tr w14:paraId="5B2AFD52">
              <w:trPr>
                <w:trHeight w:val="249" w:hRule="atLeast"/>
                <w:jc w:val="center"/>
              </w:trPr>
              <w:tc>
                <w:tcPr>
                  <w:tcW w:w="2540" w:type="dxa"/>
                  <w:gridSpan w:val="2"/>
                  <w:tcBorders>
                    <w:top w:val="nil"/>
                    <w:left w:val="single" w:color="auto" w:sz="4" w:space="0"/>
                    <w:bottom w:val="single" w:color="auto" w:sz="4" w:space="0"/>
                    <w:right w:val="single" w:color="auto" w:sz="4" w:space="0"/>
                  </w:tcBorders>
                  <w:noWrap w:val="0"/>
                  <w:vAlign w:val="center"/>
                </w:tcPr>
                <w:p w14:paraId="61C94F7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20230555</w:t>
                  </w:r>
                </w:p>
              </w:tc>
              <w:tc>
                <w:tcPr>
                  <w:tcW w:w="4989" w:type="dxa"/>
                  <w:gridSpan w:val="5"/>
                  <w:tcBorders>
                    <w:top w:val="single" w:color="auto" w:sz="4" w:space="0"/>
                    <w:left w:val="nil"/>
                    <w:bottom w:val="single" w:color="auto" w:sz="4" w:space="0"/>
                    <w:right w:val="nil"/>
                  </w:tcBorders>
                  <w:noWrap w:val="0"/>
                  <w:vAlign w:val="center"/>
                </w:tcPr>
                <w:p w14:paraId="48EE3DF6">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住培期间常见心理问题及干预</w:t>
                  </w:r>
                </w:p>
              </w:tc>
              <w:tc>
                <w:tcPr>
                  <w:tcW w:w="638" w:type="dxa"/>
                  <w:tcBorders>
                    <w:top w:val="nil"/>
                    <w:left w:val="single" w:color="auto" w:sz="4" w:space="0"/>
                    <w:bottom w:val="single" w:color="auto" w:sz="4" w:space="0"/>
                    <w:right w:val="single" w:color="auto" w:sz="4" w:space="0"/>
                  </w:tcBorders>
                  <w:noWrap w:val="0"/>
                  <w:vAlign w:val="center"/>
                </w:tcPr>
                <w:p w14:paraId="33A365A5">
                  <w:pPr>
                    <w:widowControl/>
                    <w:jc w:val="left"/>
                    <w:rPr>
                      <w:rFonts w:hint="eastAsia" w:ascii="宋体" w:hAnsi="宋体" w:cs="宋体"/>
                      <w:color w:val="auto"/>
                      <w:kern w:val="0"/>
                      <w:sz w:val="15"/>
                      <w:szCs w:val="15"/>
                    </w:rPr>
                  </w:pPr>
                </w:p>
              </w:tc>
            </w:tr>
            <w:tr w14:paraId="04E1430C">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223FA35F">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20230322</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074D8AF5">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PPT制作的实用技巧</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F56592B">
                  <w:pPr>
                    <w:widowControl/>
                    <w:jc w:val="left"/>
                    <w:rPr>
                      <w:rFonts w:hint="eastAsia" w:ascii="宋体" w:hAnsi="宋体" w:cs="宋体"/>
                      <w:color w:val="auto"/>
                      <w:kern w:val="0"/>
                      <w:sz w:val="15"/>
                      <w:szCs w:val="15"/>
                    </w:rPr>
                  </w:pPr>
                </w:p>
              </w:tc>
            </w:tr>
            <w:tr w14:paraId="68381E76">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4E88286C">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20230321</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7611920C">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教学策略与互动</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D22153A">
                  <w:pPr>
                    <w:widowControl/>
                    <w:jc w:val="left"/>
                    <w:rPr>
                      <w:rFonts w:hint="eastAsia" w:ascii="宋体" w:hAnsi="宋体" w:cs="宋体"/>
                      <w:color w:val="auto"/>
                      <w:kern w:val="0"/>
                      <w:sz w:val="15"/>
                      <w:szCs w:val="15"/>
                    </w:rPr>
                  </w:pPr>
                </w:p>
              </w:tc>
            </w:tr>
            <w:tr w14:paraId="79110AA3">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33D8932D">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20230400</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0E8179F6">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住院医师规范化培训过程考核的组织与实施</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8F22689">
                  <w:pPr>
                    <w:widowControl/>
                    <w:jc w:val="left"/>
                    <w:rPr>
                      <w:rFonts w:hint="eastAsia" w:ascii="宋体" w:hAnsi="宋体" w:cs="宋体"/>
                      <w:color w:val="auto"/>
                      <w:kern w:val="0"/>
                      <w:sz w:val="15"/>
                      <w:szCs w:val="15"/>
                    </w:rPr>
                  </w:pPr>
                </w:p>
              </w:tc>
            </w:tr>
            <w:tr w14:paraId="6B7D95E8">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5B29C727">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20230574</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64F3DB9E">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以岗位胜任力为导向的住院医师规范化培训过程管理</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A78A338">
                  <w:pPr>
                    <w:widowControl/>
                    <w:jc w:val="left"/>
                    <w:rPr>
                      <w:rFonts w:hint="eastAsia" w:ascii="宋体" w:hAnsi="宋体" w:cs="宋体"/>
                      <w:color w:val="auto"/>
                      <w:kern w:val="0"/>
                      <w:sz w:val="15"/>
                      <w:szCs w:val="15"/>
                    </w:rPr>
                  </w:pPr>
                </w:p>
              </w:tc>
            </w:tr>
            <w:tr w14:paraId="4CFD4105">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3365D166">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20230330</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7CD90BB9">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住培学员病历的规范书写与修改</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D45F88F">
                  <w:pPr>
                    <w:widowControl/>
                    <w:jc w:val="left"/>
                    <w:rPr>
                      <w:rFonts w:hint="eastAsia" w:ascii="宋体" w:hAnsi="宋体" w:cs="宋体"/>
                      <w:color w:val="auto"/>
                      <w:kern w:val="0"/>
                      <w:sz w:val="15"/>
                      <w:szCs w:val="15"/>
                    </w:rPr>
                  </w:pPr>
                </w:p>
              </w:tc>
            </w:tr>
            <w:tr w14:paraId="39E04451">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2650FE22">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20230783</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06C62A22">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从评估指标看师资能力新要求</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4F8EA54E">
                  <w:pPr>
                    <w:widowControl/>
                    <w:jc w:val="left"/>
                    <w:rPr>
                      <w:rFonts w:hint="eastAsia" w:ascii="宋体" w:hAnsi="宋体" w:cs="宋体"/>
                      <w:color w:val="auto"/>
                      <w:kern w:val="0"/>
                      <w:sz w:val="15"/>
                      <w:szCs w:val="15"/>
                    </w:rPr>
                  </w:pPr>
                </w:p>
              </w:tc>
            </w:tr>
            <w:tr w14:paraId="38B9A32F">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1559592A">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20230813</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46FC31E5">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新医科背景下的住培课程思政教学实践</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53DC1DE">
                  <w:pPr>
                    <w:widowControl/>
                    <w:jc w:val="left"/>
                    <w:rPr>
                      <w:rFonts w:hint="eastAsia" w:ascii="宋体" w:hAnsi="宋体" w:cs="宋体"/>
                      <w:color w:val="auto"/>
                      <w:kern w:val="0"/>
                      <w:sz w:val="15"/>
                      <w:szCs w:val="15"/>
                    </w:rPr>
                  </w:pPr>
                </w:p>
              </w:tc>
            </w:tr>
            <w:tr w14:paraId="4E097718">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44D87438">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20230922</w:t>
                  </w: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308992E7">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住培新版两个标准修订解读</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0B8330">
                  <w:pPr>
                    <w:widowControl/>
                    <w:jc w:val="left"/>
                    <w:rPr>
                      <w:rFonts w:hint="eastAsia" w:ascii="宋体" w:hAnsi="宋体" w:cs="宋体"/>
                      <w:color w:val="auto"/>
                      <w:kern w:val="0"/>
                      <w:sz w:val="15"/>
                      <w:szCs w:val="15"/>
                    </w:rPr>
                  </w:pPr>
                </w:p>
              </w:tc>
            </w:tr>
            <w:tr w14:paraId="117A39A8">
              <w:trPr>
                <w:trHeight w:val="249"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14:paraId="25D4A5B1">
                  <w:pPr>
                    <w:widowControl/>
                    <w:jc w:val="left"/>
                    <w:rPr>
                      <w:rFonts w:hint="eastAsia" w:ascii="宋体" w:hAnsi="宋体" w:eastAsia="宋体" w:cs="宋体"/>
                      <w:color w:val="auto"/>
                      <w:kern w:val="0"/>
                      <w:sz w:val="18"/>
                      <w:szCs w:val="18"/>
                      <w:lang w:val="en-US" w:eastAsia="zh-CN"/>
                    </w:rPr>
                  </w:pPr>
                </w:p>
              </w:tc>
              <w:tc>
                <w:tcPr>
                  <w:tcW w:w="4989" w:type="dxa"/>
                  <w:gridSpan w:val="5"/>
                  <w:tcBorders>
                    <w:top w:val="single" w:color="auto" w:sz="4" w:space="0"/>
                    <w:left w:val="single" w:color="auto" w:sz="4" w:space="0"/>
                    <w:bottom w:val="single" w:color="auto" w:sz="4" w:space="0"/>
                    <w:right w:val="single" w:color="auto" w:sz="4" w:space="0"/>
                  </w:tcBorders>
                  <w:noWrap w:val="0"/>
                  <w:vAlign w:val="center"/>
                </w:tcPr>
                <w:p w14:paraId="543A0C2C">
                  <w:pPr>
                    <w:widowControl/>
                    <w:jc w:val="left"/>
                    <w:rPr>
                      <w:rFonts w:hint="eastAsia" w:ascii="宋体" w:hAnsi="宋体" w:eastAsia="宋体" w:cs="宋体"/>
                      <w:color w:val="auto"/>
                      <w:kern w:val="0"/>
                      <w:sz w:val="18"/>
                      <w:szCs w:val="18"/>
                      <w:lang w:val="en-US" w:eastAsia="zh-CN"/>
                    </w:rPr>
                  </w:pPr>
                </w:p>
              </w:tc>
              <w:tc>
                <w:tcPr>
                  <w:tcW w:w="638" w:type="dxa"/>
                  <w:tcBorders>
                    <w:top w:val="single" w:color="auto" w:sz="4" w:space="0"/>
                    <w:left w:val="single" w:color="auto" w:sz="4" w:space="0"/>
                    <w:bottom w:val="single" w:color="auto" w:sz="4" w:space="0"/>
                    <w:right w:val="single" w:color="auto" w:sz="4" w:space="0"/>
                  </w:tcBorders>
                  <w:noWrap w:val="0"/>
                  <w:vAlign w:val="center"/>
                </w:tcPr>
                <w:p w14:paraId="176652E3">
                  <w:pPr>
                    <w:widowControl/>
                    <w:jc w:val="left"/>
                    <w:rPr>
                      <w:rFonts w:hint="eastAsia" w:ascii="宋体" w:hAnsi="宋体" w:cs="宋体"/>
                      <w:color w:val="auto"/>
                      <w:kern w:val="0"/>
                      <w:sz w:val="15"/>
                      <w:szCs w:val="15"/>
                    </w:rPr>
                  </w:pPr>
                </w:p>
              </w:tc>
            </w:tr>
          </w:tbl>
          <w:p w14:paraId="05509E01">
            <w:pPr>
              <w:jc w:val="left"/>
              <w:rPr>
                <w:rFonts w:hint="eastAsia" w:ascii="宋体" w:hAnsi="宋体" w:cs="宋体"/>
                <w:b/>
                <w:bCs/>
                <w:color w:val="auto"/>
                <w:kern w:val="0"/>
                <w:szCs w:val="21"/>
              </w:rPr>
            </w:pPr>
          </w:p>
        </w:tc>
      </w:tr>
    </w:tbl>
    <w:p w14:paraId="24125F11">
      <w:pPr>
        <w:pStyle w:val="2"/>
        <w:rPr>
          <w:rFonts w:hint="eastAsia" w:ascii="宋体" w:hAnsi="宋体" w:cs="宋体"/>
          <w:b/>
          <w:color w:val="auto"/>
          <w:kern w:val="0"/>
          <w:szCs w:val="21"/>
        </w:rPr>
      </w:pPr>
    </w:p>
    <w:p w14:paraId="5C054DDE">
      <w:pPr>
        <w:adjustRightInd w:val="0"/>
        <w:spacing w:line="360" w:lineRule="auto"/>
        <w:jc w:val="left"/>
        <w:rPr>
          <w:rFonts w:ascii="仿宋" w:hAnsi="仿宋" w:eastAsia="仿宋"/>
          <w:color w:val="000000" w:themeColor="text1"/>
          <w:sz w:val="32"/>
          <w14:textFill>
            <w14:solidFill>
              <w14:schemeClr w14:val="tx1"/>
            </w14:solidFill>
          </w14:textFill>
        </w:rPr>
      </w:pPr>
    </w:p>
    <w:p w14:paraId="1E274415">
      <w:pPr>
        <w:adjustRightInd w:val="0"/>
        <w:spacing w:line="360" w:lineRule="auto"/>
        <w:jc w:val="left"/>
        <w:rPr>
          <w:rFonts w:ascii="仿宋" w:hAnsi="仿宋" w:eastAsia="仿宋"/>
          <w:color w:val="000000" w:themeColor="text1"/>
          <w:sz w:val="32"/>
          <w14:textFill>
            <w14:solidFill>
              <w14:schemeClr w14:val="tx1"/>
            </w14:solidFill>
          </w14:textFill>
        </w:rPr>
      </w:pPr>
    </w:p>
    <w:p w14:paraId="5F7DE208">
      <w:pPr>
        <w:adjustRightInd w:val="0"/>
        <w:spacing w:line="360" w:lineRule="auto"/>
        <w:jc w:val="left"/>
        <w:rPr>
          <w:rFonts w:ascii="仿宋" w:hAnsi="仿宋" w:eastAsia="仿宋"/>
          <w:color w:val="000000" w:themeColor="text1"/>
          <w:sz w:val="32"/>
          <w14:textFill>
            <w14:solidFill>
              <w14:schemeClr w14:val="tx1"/>
            </w14:solidFill>
          </w14:textFill>
        </w:rPr>
      </w:pPr>
    </w:p>
    <w:p w14:paraId="77CE9483">
      <w:pPr>
        <w:adjustRightInd w:val="0"/>
        <w:spacing w:line="360" w:lineRule="auto"/>
        <w:jc w:val="left"/>
        <w:rPr>
          <w:rFonts w:ascii="仿宋" w:hAnsi="仿宋" w:eastAsia="仿宋"/>
          <w:color w:val="000000" w:themeColor="text1"/>
          <w:sz w:val="32"/>
          <w14:textFill>
            <w14:solidFill>
              <w14:schemeClr w14:val="tx1"/>
            </w14:solidFill>
          </w14:textFill>
        </w:rPr>
      </w:pPr>
    </w:p>
    <w:p w14:paraId="0E46F5E9">
      <w:pPr>
        <w:adjustRightInd w:val="0"/>
        <w:spacing w:line="360" w:lineRule="auto"/>
        <w:jc w:val="left"/>
        <w:rPr>
          <w:rFonts w:ascii="仿宋" w:hAnsi="仿宋" w:eastAsia="仿宋"/>
          <w:color w:val="000000" w:themeColor="text1"/>
          <w:sz w:val="32"/>
          <w14:textFill>
            <w14:solidFill>
              <w14:schemeClr w14:val="tx1"/>
            </w14:solidFill>
          </w14:textFill>
        </w:rPr>
      </w:pPr>
    </w:p>
    <w:p w14:paraId="2EA8D421">
      <w:pPr>
        <w:spacing w:line="360" w:lineRule="auto"/>
        <w:jc w:val="center"/>
        <w:rPr>
          <w:rFonts w:ascii="微软雅黑" w:hAnsi="微软雅黑" w:eastAsia="微软雅黑" w:cs="微软雅黑"/>
          <w:sz w:val="56"/>
          <w:szCs w:val="56"/>
        </w:rPr>
      </w:pPr>
      <w:r>
        <w:rPr>
          <w:rFonts w:hint="eastAsia" w:ascii="微软雅黑" w:hAnsi="微软雅黑" w:eastAsia="微软雅黑" w:cs="微软雅黑"/>
          <w:sz w:val="56"/>
          <w:szCs w:val="56"/>
        </w:rPr>
        <w:t>比价文件</w:t>
      </w:r>
    </w:p>
    <w:p w14:paraId="1A9BCB4C">
      <w:pPr>
        <w:spacing w:line="420" w:lineRule="exact"/>
        <w:jc w:val="center"/>
        <w:rPr>
          <w:rFonts w:ascii="微软雅黑" w:hAnsi="微软雅黑" w:eastAsia="微软雅黑" w:cs="微软雅黑"/>
          <w:sz w:val="48"/>
          <w:szCs w:val="48"/>
        </w:rPr>
      </w:pPr>
    </w:p>
    <w:p w14:paraId="6156EF5B">
      <w:pPr>
        <w:spacing w:line="420" w:lineRule="exact"/>
        <w:jc w:val="center"/>
        <w:rPr>
          <w:rFonts w:ascii="微软雅黑" w:hAnsi="微软雅黑" w:eastAsia="微软雅黑" w:cs="微软雅黑"/>
          <w:sz w:val="44"/>
          <w:szCs w:val="44"/>
        </w:rPr>
      </w:pPr>
    </w:p>
    <w:p w14:paraId="274D9AD2">
      <w:pPr>
        <w:spacing w:line="420" w:lineRule="exact"/>
        <w:jc w:val="center"/>
        <w:rPr>
          <w:rFonts w:ascii="微软雅黑" w:hAnsi="微软雅黑" w:eastAsia="微软雅黑" w:cs="微软雅黑"/>
          <w:sz w:val="44"/>
          <w:szCs w:val="44"/>
        </w:rPr>
      </w:pPr>
    </w:p>
    <w:p w14:paraId="359CDBF6">
      <w:pPr>
        <w:spacing w:line="420" w:lineRule="exact"/>
        <w:jc w:val="center"/>
        <w:rPr>
          <w:rFonts w:ascii="微软雅黑" w:hAnsi="微软雅黑" w:eastAsia="微软雅黑" w:cs="微软雅黑"/>
          <w:sz w:val="44"/>
          <w:szCs w:val="44"/>
        </w:rPr>
      </w:pPr>
    </w:p>
    <w:p w14:paraId="547BCE9B">
      <w:pPr>
        <w:spacing w:line="360" w:lineRule="auto"/>
        <w:rPr>
          <w:rFonts w:ascii="微软雅黑" w:hAnsi="微软雅黑" w:eastAsia="微软雅黑" w:cs="微软雅黑"/>
          <w:sz w:val="32"/>
          <w:szCs w:val="32"/>
        </w:rPr>
      </w:pPr>
      <w:r>
        <w:rPr>
          <w:rFonts w:hint="eastAsia" w:ascii="微软雅黑" w:hAnsi="微软雅黑" w:eastAsia="微软雅黑" w:cs="微软雅黑"/>
          <w:sz w:val="44"/>
          <w:szCs w:val="44"/>
        </w:rPr>
        <w:t xml:space="preserve">   </w:t>
      </w:r>
      <w:r>
        <w:rPr>
          <w:rFonts w:hint="eastAsia" w:ascii="微软雅黑" w:hAnsi="微软雅黑" w:eastAsia="微软雅黑" w:cs="微软雅黑"/>
          <w:sz w:val="32"/>
          <w:szCs w:val="32"/>
        </w:rPr>
        <w:t xml:space="preserve"> </w:t>
      </w:r>
    </w:p>
    <w:p w14:paraId="7B42AF11">
      <w:pPr>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项目名称：医视在线培训平台项目</w:t>
      </w:r>
    </w:p>
    <w:p w14:paraId="0909DCF0">
      <w:pPr>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 xml:space="preserve">    </w:t>
      </w:r>
    </w:p>
    <w:p w14:paraId="28B3064D">
      <w:pPr>
        <w:spacing w:line="360" w:lineRule="auto"/>
        <w:rPr>
          <w:rFonts w:ascii="微软雅黑" w:hAnsi="微软雅黑" w:eastAsia="微软雅黑" w:cs="微软雅黑"/>
          <w:sz w:val="32"/>
          <w:szCs w:val="32"/>
        </w:rPr>
      </w:pPr>
    </w:p>
    <w:p w14:paraId="6080A3B3">
      <w:pPr>
        <w:spacing w:line="360" w:lineRule="auto"/>
        <w:rPr>
          <w:rFonts w:ascii="微软雅黑" w:hAnsi="微软雅黑" w:eastAsia="微软雅黑" w:cs="微软雅黑"/>
          <w:sz w:val="32"/>
          <w:szCs w:val="32"/>
        </w:rPr>
      </w:pPr>
    </w:p>
    <w:p w14:paraId="0C916475">
      <w:pPr>
        <w:spacing w:line="360" w:lineRule="auto"/>
        <w:rPr>
          <w:rFonts w:ascii="微软雅黑" w:hAnsi="微软雅黑" w:eastAsia="微软雅黑" w:cs="微软雅黑"/>
          <w:sz w:val="32"/>
          <w:szCs w:val="32"/>
        </w:rPr>
      </w:pPr>
    </w:p>
    <w:p w14:paraId="0F8EAAD4">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比价单位（全称）：</w:t>
      </w:r>
    </w:p>
    <w:p w14:paraId="330B68B6">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授权代表：</w:t>
      </w:r>
    </w:p>
    <w:p w14:paraId="2C33E150">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联系电话：</w:t>
      </w:r>
    </w:p>
    <w:p w14:paraId="3469AE62">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日    期：</w:t>
      </w:r>
    </w:p>
    <w:p w14:paraId="7E9DEF36">
      <w:pPr>
        <w:pStyle w:val="9"/>
        <w:ind w:left="1260"/>
        <w:rPr>
          <w:rFonts w:ascii="微软雅黑" w:hAnsi="微软雅黑" w:eastAsia="微软雅黑" w:cs="微软雅黑"/>
          <w:sz w:val="32"/>
          <w:szCs w:val="32"/>
        </w:rPr>
      </w:pPr>
    </w:p>
    <w:p w14:paraId="067768CE">
      <w:pPr>
        <w:rPr>
          <w:rFonts w:ascii="微软雅黑" w:hAnsi="微软雅黑" w:eastAsia="微软雅黑" w:cs="微软雅黑"/>
          <w:sz w:val="32"/>
          <w:szCs w:val="32"/>
        </w:rPr>
      </w:pPr>
    </w:p>
    <w:p w14:paraId="15269651">
      <w:pPr>
        <w:pStyle w:val="9"/>
        <w:ind w:left="1260"/>
        <w:rPr>
          <w:rFonts w:ascii="微软雅黑" w:hAnsi="微软雅黑" w:eastAsia="微软雅黑" w:cs="微软雅黑"/>
          <w:sz w:val="32"/>
          <w:szCs w:val="32"/>
        </w:rPr>
      </w:pPr>
    </w:p>
    <w:p w14:paraId="1B953E1F"/>
    <w:p w14:paraId="243E25E5"/>
    <w:p w14:paraId="11243CF2"/>
    <w:p w14:paraId="683D6981">
      <w:pPr>
        <w:pStyle w:val="8"/>
        <w:ind w:left="1470" w:right="1470"/>
      </w:pPr>
    </w:p>
    <w:p w14:paraId="3714569A">
      <w:pPr>
        <w:widowControl/>
        <w:spacing w:line="420" w:lineRule="exact"/>
        <w:rPr>
          <w:rFonts w:ascii="微软雅黑" w:hAnsi="微软雅黑" w:eastAsia="微软雅黑" w:cs="微软雅黑"/>
        </w:rPr>
      </w:pPr>
    </w:p>
    <w:p w14:paraId="5F6CB6B3">
      <w:pPr>
        <w:pStyle w:val="9"/>
        <w:ind w:left="1260"/>
      </w:pPr>
    </w:p>
    <w:p w14:paraId="36A9F24E">
      <w:pPr>
        <w:pStyle w:val="5"/>
        <w:pageBreakBefore/>
        <w:spacing w:line="420" w:lineRule="exact"/>
        <w:jc w:val="center"/>
        <w:rPr>
          <w:rFonts w:ascii="微软雅黑" w:hAnsi="微软雅黑" w:eastAsia="微软雅黑" w:cs="微软雅黑"/>
          <w:sz w:val="28"/>
          <w:szCs w:val="28"/>
        </w:rPr>
      </w:pPr>
      <w:bookmarkStart w:id="0" w:name="_Toc6344"/>
      <w:r>
        <w:rPr>
          <w:rFonts w:hint="eastAsia" w:ascii="微软雅黑" w:hAnsi="微软雅黑" w:eastAsia="微软雅黑" w:cs="微软雅黑"/>
          <w:sz w:val="28"/>
          <w:szCs w:val="28"/>
        </w:rPr>
        <w:t>2.报价表</w:t>
      </w:r>
      <w:bookmarkEnd w:id="0"/>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14:paraId="0DE39A09">
        <w:trPr>
          <w:cantSplit/>
          <w:trHeight w:val="891" w:hRule="atLeast"/>
        </w:trPr>
        <w:tc>
          <w:tcPr>
            <w:tcW w:w="664" w:type="dxa"/>
            <w:vAlign w:val="center"/>
          </w:tcPr>
          <w:p w14:paraId="7D0EFAFB">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1</w:t>
            </w:r>
          </w:p>
        </w:tc>
        <w:tc>
          <w:tcPr>
            <w:tcW w:w="1958" w:type="dxa"/>
            <w:vAlign w:val="center"/>
          </w:tcPr>
          <w:p w14:paraId="5C323DBF">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项目名称</w:t>
            </w:r>
          </w:p>
        </w:tc>
        <w:tc>
          <w:tcPr>
            <w:tcW w:w="5898" w:type="dxa"/>
            <w:vAlign w:val="center"/>
          </w:tcPr>
          <w:p w14:paraId="14839887">
            <w:pPr>
              <w:snapToGrid w:val="0"/>
              <w:spacing w:line="420" w:lineRule="exact"/>
              <w:rPr>
                <w:rFonts w:ascii="微软雅黑" w:hAnsi="微软雅黑" w:eastAsia="微软雅黑" w:cs="微软雅黑"/>
                <w:color w:val="000000"/>
                <w:sz w:val="22"/>
              </w:rPr>
            </w:pPr>
          </w:p>
        </w:tc>
      </w:tr>
      <w:tr w14:paraId="67317DD2">
        <w:trPr>
          <w:cantSplit/>
          <w:trHeight w:val="1087" w:hRule="atLeast"/>
        </w:trPr>
        <w:tc>
          <w:tcPr>
            <w:tcW w:w="664" w:type="dxa"/>
            <w:vAlign w:val="center"/>
          </w:tcPr>
          <w:p w14:paraId="21C4A981">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2</w:t>
            </w:r>
          </w:p>
        </w:tc>
        <w:tc>
          <w:tcPr>
            <w:tcW w:w="1958" w:type="dxa"/>
            <w:vAlign w:val="center"/>
          </w:tcPr>
          <w:p w14:paraId="0493001A">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报价日期</w:t>
            </w:r>
          </w:p>
        </w:tc>
        <w:tc>
          <w:tcPr>
            <w:tcW w:w="5898" w:type="dxa"/>
            <w:vAlign w:val="center"/>
          </w:tcPr>
          <w:p w14:paraId="253F57AD">
            <w:pPr>
              <w:snapToGrid w:val="0"/>
              <w:spacing w:line="420" w:lineRule="exact"/>
              <w:jc w:val="center"/>
              <w:rPr>
                <w:rFonts w:ascii="微软雅黑" w:hAnsi="微软雅黑" w:eastAsia="微软雅黑" w:cs="微软雅黑"/>
                <w:sz w:val="22"/>
              </w:rPr>
            </w:pPr>
          </w:p>
        </w:tc>
      </w:tr>
      <w:tr w14:paraId="61B787D3">
        <w:trPr>
          <w:cantSplit/>
          <w:trHeight w:val="1087" w:hRule="atLeast"/>
        </w:trPr>
        <w:tc>
          <w:tcPr>
            <w:tcW w:w="664" w:type="dxa"/>
            <w:vAlign w:val="center"/>
          </w:tcPr>
          <w:p w14:paraId="04A2CFAA">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3</w:t>
            </w:r>
          </w:p>
        </w:tc>
        <w:tc>
          <w:tcPr>
            <w:tcW w:w="1958" w:type="dxa"/>
            <w:vAlign w:val="center"/>
          </w:tcPr>
          <w:p w14:paraId="6D88CBC1">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比价报价</w:t>
            </w:r>
          </w:p>
        </w:tc>
        <w:tc>
          <w:tcPr>
            <w:tcW w:w="5898" w:type="dxa"/>
          </w:tcPr>
          <w:p w14:paraId="6ED830DD">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人民币（大写）                 元整  </w:t>
            </w:r>
          </w:p>
          <w:p w14:paraId="3551AC5A">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                </w:t>
            </w:r>
          </w:p>
        </w:tc>
      </w:tr>
    </w:tbl>
    <w:p w14:paraId="6BCCBDAE">
      <w:pPr>
        <w:widowControl/>
        <w:topLinePunct/>
        <w:snapToGrid w:val="0"/>
        <w:spacing w:before="4" w:line="420" w:lineRule="exact"/>
        <w:rPr>
          <w:rFonts w:ascii="微软雅黑" w:hAnsi="微软雅黑" w:eastAsia="微软雅黑" w:cs="微软雅黑"/>
          <w:sz w:val="22"/>
        </w:rPr>
      </w:pPr>
    </w:p>
    <w:p w14:paraId="3AA22B51">
      <w:pPr>
        <w:widowControl/>
        <w:topLinePunct/>
        <w:snapToGrid w:val="0"/>
        <w:spacing w:before="4" w:line="420" w:lineRule="exact"/>
        <w:rPr>
          <w:rFonts w:ascii="微软雅黑" w:hAnsi="微软雅黑" w:eastAsia="微软雅黑" w:cs="微软雅黑"/>
          <w:sz w:val="22"/>
        </w:rPr>
      </w:pPr>
      <w:r>
        <w:rPr>
          <w:rFonts w:hint="eastAsia" w:ascii="微软雅黑" w:hAnsi="微软雅黑" w:eastAsia="微软雅黑" w:cs="微软雅黑"/>
          <w:sz w:val="22"/>
        </w:rPr>
        <w:t>比价单位全称全称（公章）：</w:t>
      </w:r>
      <w:r>
        <w:rPr>
          <w:rFonts w:hint="eastAsia" w:ascii="微软雅黑" w:hAnsi="微软雅黑" w:eastAsia="微软雅黑" w:cs="微软雅黑"/>
          <w:sz w:val="22"/>
          <w:u w:val="single"/>
        </w:rPr>
        <w:t xml:space="preserve">   </w:t>
      </w:r>
      <w:r>
        <w:rPr>
          <w:rFonts w:hint="eastAsia" w:ascii="微软雅黑" w:hAnsi="微软雅黑" w:eastAsia="微软雅黑" w:cs="微软雅黑"/>
          <w:sz w:val="22"/>
        </w:rPr>
        <w:t xml:space="preserve">     </w:t>
      </w:r>
    </w:p>
    <w:p w14:paraId="3FF1229B">
      <w:pPr>
        <w:widowControl/>
        <w:topLinePunct/>
        <w:snapToGrid w:val="0"/>
        <w:spacing w:before="4" w:line="420" w:lineRule="exact"/>
        <w:rPr>
          <w:rFonts w:ascii="微软雅黑" w:hAnsi="微软雅黑" w:eastAsia="微软雅黑" w:cs="微软雅黑"/>
          <w:sz w:val="24"/>
        </w:rPr>
      </w:pPr>
      <w:r>
        <w:rPr>
          <w:rFonts w:hint="eastAsia" w:ascii="微软雅黑" w:hAnsi="微软雅黑" w:eastAsia="微软雅黑" w:cs="微软雅黑"/>
          <w:sz w:val="22"/>
        </w:rPr>
        <w:t>法定代表人（或授权代表）（签字或盖章）：</w:t>
      </w:r>
      <w:r>
        <w:rPr>
          <w:rFonts w:hint="eastAsia" w:ascii="微软雅黑" w:hAnsi="微软雅黑" w:eastAsia="微软雅黑" w:cs="微软雅黑"/>
          <w:sz w:val="22"/>
          <w:u w:val="single"/>
        </w:rPr>
        <w:t xml:space="preserve">    </w:t>
      </w:r>
    </w:p>
    <w:p w14:paraId="350947BE">
      <w:pPr>
        <w:spacing w:line="420" w:lineRule="exact"/>
        <w:ind w:firstLine="270" w:firstLineChars="150"/>
        <w:rPr>
          <w:rFonts w:ascii="微软雅黑" w:hAnsi="微软雅黑" w:eastAsia="微软雅黑" w:cs="微软雅黑"/>
          <w:sz w:val="18"/>
          <w:szCs w:val="18"/>
        </w:rPr>
      </w:pPr>
    </w:p>
    <w:p w14:paraId="4061049A">
      <w:pPr>
        <w:pStyle w:val="9"/>
        <w:ind w:left="1260"/>
        <w:rPr>
          <w:rFonts w:ascii="微软雅黑" w:hAnsi="微软雅黑" w:eastAsia="微软雅黑" w:cs="微软雅黑"/>
          <w:sz w:val="18"/>
          <w:szCs w:val="18"/>
        </w:rPr>
      </w:pPr>
    </w:p>
    <w:p w14:paraId="66730E16"/>
    <w:p w14:paraId="645CB363"/>
    <w:p w14:paraId="506E0AF1"/>
    <w:p w14:paraId="7910B12D"/>
    <w:p w14:paraId="6B8DBF7C"/>
    <w:p w14:paraId="7556009F"/>
    <w:p w14:paraId="101462E6"/>
    <w:p w14:paraId="0BF2A6F0"/>
    <w:p w14:paraId="795B2C3A"/>
    <w:p w14:paraId="56DD1D46"/>
    <w:p w14:paraId="68035C83">
      <w:pPr>
        <w:rPr>
          <w:rFonts w:ascii="微软雅黑" w:hAnsi="微软雅黑" w:eastAsia="微软雅黑" w:cs="微软雅黑"/>
          <w:sz w:val="18"/>
          <w:szCs w:val="18"/>
        </w:rPr>
      </w:pPr>
    </w:p>
    <w:p w14:paraId="2CBF0516">
      <w:pPr>
        <w:pStyle w:val="9"/>
        <w:ind w:left="1260"/>
      </w:pPr>
    </w:p>
    <w:p w14:paraId="4C1CFEAC">
      <w:pPr>
        <w:pStyle w:val="9"/>
        <w:ind w:left="1260"/>
        <w:rPr>
          <w:rFonts w:ascii="微软雅黑" w:hAnsi="微软雅黑" w:eastAsia="微软雅黑" w:cs="微软雅黑"/>
          <w:sz w:val="18"/>
          <w:szCs w:val="18"/>
        </w:rPr>
      </w:pPr>
    </w:p>
    <w:p w14:paraId="348C6F98">
      <w:pPr>
        <w:rPr>
          <w:rFonts w:ascii="微软雅黑" w:hAnsi="微软雅黑" w:eastAsia="微软雅黑" w:cs="微软雅黑"/>
          <w:sz w:val="18"/>
          <w:szCs w:val="18"/>
        </w:rPr>
      </w:pPr>
    </w:p>
    <w:p w14:paraId="14954860">
      <w:pPr>
        <w:pStyle w:val="9"/>
        <w:ind w:left="1260"/>
        <w:rPr>
          <w:rFonts w:ascii="微软雅黑" w:hAnsi="微软雅黑" w:eastAsia="微软雅黑" w:cs="微软雅黑"/>
          <w:sz w:val="18"/>
          <w:szCs w:val="18"/>
        </w:rPr>
      </w:pPr>
    </w:p>
    <w:p w14:paraId="47BE8285">
      <w:pPr>
        <w:rPr>
          <w:rFonts w:ascii="微软雅黑" w:hAnsi="微软雅黑" w:eastAsia="微软雅黑" w:cs="微软雅黑"/>
          <w:sz w:val="18"/>
          <w:szCs w:val="18"/>
        </w:rPr>
      </w:pPr>
    </w:p>
    <w:p w14:paraId="08AE8FCB">
      <w:pPr>
        <w:pStyle w:val="9"/>
        <w:ind w:left="1260"/>
      </w:pPr>
    </w:p>
    <w:p w14:paraId="17D014E7">
      <w:pPr>
        <w:rPr>
          <w:rFonts w:ascii="微软雅黑" w:hAnsi="微软雅黑" w:eastAsia="微软雅黑" w:cs="微软雅黑"/>
          <w:sz w:val="18"/>
          <w:szCs w:val="18"/>
        </w:rPr>
      </w:pPr>
    </w:p>
    <w:p w14:paraId="2D0372FA">
      <w:pPr>
        <w:pStyle w:val="9"/>
        <w:ind w:left="1260"/>
        <w:rPr>
          <w:rFonts w:ascii="微软雅黑" w:hAnsi="微软雅黑" w:eastAsia="微软雅黑" w:cs="微软雅黑"/>
          <w:sz w:val="18"/>
          <w:szCs w:val="18"/>
        </w:rPr>
      </w:pPr>
    </w:p>
    <w:p w14:paraId="245963B8"/>
    <w:p w14:paraId="6CB1F6FE">
      <w:pPr>
        <w:pStyle w:val="5"/>
        <w:spacing w:line="420" w:lineRule="exact"/>
        <w:jc w:val="center"/>
        <w:rPr>
          <w:rFonts w:ascii="微软雅黑" w:hAnsi="微软雅黑" w:eastAsia="微软雅黑" w:cs="微软雅黑"/>
          <w:sz w:val="28"/>
          <w:szCs w:val="28"/>
        </w:rPr>
      </w:pPr>
      <w:bookmarkStart w:id="1" w:name="_Toc24437"/>
      <w:bookmarkStart w:id="2" w:name="_Toc403725575"/>
      <w:r>
        <w:rPr>
          <w:rFonts w:hint="eastAsia" w:ascii="微软雅黑" w:hAnsi="微软雅黑" w:eastAsia="微软雅黑" w:cs="微软雅黑"/>
          <w:sz w:val="28"/>
          <w:szCs w:val="28"/>
        </w:rPr>
        <w:t>3.比价报价明细表</w:t>
      </w:r>
      <w:bookmarkEnd w:id="1"/>
      <w:bookmarkEnd w:id="2"/>
    </w:p>
    <w:tbl>
      <w:tblPr>
        <w:tblStyle w:val="14"/>
        <w:tblW w:w="834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570"/>
        <w:gridCol w:w="914"/>
        <w:gridCol w:w="667"/>
        <w:gridCol w:w="534"/>
        <w:gridCol w:w="726"/>
        <w:gridCol w:w="781"/>
        <w:gridCol w:w="534"/>
        <w:gridCol w:w="534"/>
        <w:gridCol w:w="534"/>
        <w:gridCol w:w="499"/>
        <w:gridCol w:w="437"/>
      </w:tblGrid>
      <w:tr w14:paraId="11D61D48">
        <w:trPr>
          <w:cantSplit/>
          <w:trHeight w:val="360" w:hRule="atLeast"/>
          <w:tblHeader/>
        </w:trPr>
        <w:tc>
          <w:tcPr>
            <w:tcW w:w="610" w:type="dxa"/>
            <w:tcBorders>
              <w:top w:val="single" w:color="auto" w:sz="6" w:space="0"/>
              <w:left w:val="single" w:color="auto" w:sz="6" w:space="0"/>
              <w:bottom w:val="single" w:color="auto" w:sz="6" w:space="0"/>
              <w:right w:val="single" w:color="auto" w:sz="6" w:space="0"/>
            </w:tcBorders>
            <w:shd w:val="clear" w:color="auto" w:fill="E0E0E0"/>
            <w:vAlign w:val="center"/>
          </w:tcPr>
          <w:p w14:paraId="59E9467D">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序号</w:t>
            </w:r>
          </w:p>
        </w:tc>
        <w:tc>
          <w:tcPr>
            <w:tcW w:w="1570"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1D3BC348">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物品名称</w:t>
            </w:r>
          </w:p>
        </w:tc>
        <w:tc>
          <w:tcPr>
            <w:tcW w:w="914"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14:paraId="4E9004F8">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型号</w:t>
            </w:r>
          </w:p>
        </w:tc>
        <w:tc>
          <w:tcPr>
            <w:tcW w:w="667"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4254799B">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数量</w:t>
            </w:r>
          </w:p>
        </w:tc>
        <w:tc>
          <w:tcPr>
            <w:tcW w:w="534" w:type="dxa"/>
            <w:tcBorders>
              <w:top w:val="single" w:color="auto" w:sz="6" w:space="0"/>
              <w:left w:val="single" w:color="auto" w:sz="6" w:space="0"/>
              <w:bottom w:val="single" w:color="auto" w:sz="4" w:space="0"/>
              <w:right w:val="single" w:color="auto" w:sz="4" w:space="0"/>
            </w:tcBorders>
            <w:shd w:val="clear" w:color="auto" w:fill="E0E0E0"/>
            <w:tcMar>
              <w:top w:w="15" w:type="dxa"/>
              <w:left w:w="15" w:type="dxa"/>
              <w:bottom w:w="0" w:type="dxa"/>
              <w:right w:w="15" w:type="dxa"/>
            </w:tcMar>
            <w:vAlign w:val="center"/>
          </w:tcPr>
          <w:p w14:paraId="213255C0">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单位</w:t>
            </w:r>
          </w:p>
        </w:tc>
        <w:tc>
          <w:tcPr>
            <w:tcW w:w="726"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14:paraId="1B8768DF">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品牌</w:t>
            </w:r>
          </w:p>
        </w:tc>
        <w:tc>
          <w:tcPr>
            <w:tcW w:w="781"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14:paraId="7323C483">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单价</w:t>
            </w:r>
          </w:p>
        </w:tc>
        <w:tc>
          <w:tcPr>
            <w:tcW w:w="534" w:type="dxa"/>
            <w:tcBorders>
              <w:top w:val="single" w:color="auto" w:sz="6" w:space="0"/>
              <w:left w:val="single" w:color="auto" w:sz="4" w:space="0"/>
              <w:bottom w:val="single" w:color="auto" w:sz="4" w:space="0"/>
              <w:right w:val="single" w:color="auto" w:sz="6" w:space="0"/>
            </w:tcBorders>
            <w:shd w:val="clear" w:color="auto" w:fill="E0E0E0"/>
            <w:tcMar>
              <w:top w:w="15" w:type="dxa"/>
              <w:left w:w="15" w:type="dxa"/>
              <w:bottom w:w="0" w:type="dxa"/>
              <w:right w:w="15" w:type="dxa"/>
            </w:tcMar>
            <w:vAlign w:val="center"/>
          </w:tcPr>
          <w:p w14:paraId="66E6F4F6">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总价</w:t>
            </w:r>
          </w:p>
        </w:tc>
        <w:tc>
          <w:tcPr>
            <w:tcW w:w="534" w:type="dxa"/>
            <w:tcBorders>
              <w:top w:val="single" w:color="auto" w:sz="6" w:space="0"/>
              <w:left w:val="single" w:color="auto" w:sz="6" w:space="0"/>
              <w:bottom w:val="single" w:color="auto" w:sz="4" w:space="0"/>
              <w:right w:val="single" w:color="auto" w:sz="6" w:space="0"/>
            </w:tcBorders>
            <w:shd w:val="clear" w:color="auto" w:fill="E0E0E0"/>
            <w:tcMar>
              <w:top w:w="15" w:type="dxa"/>
              <w:left w:w="15" w:type="dxa"/>
              <w:bottom w:w="0" w:type="dxa"/>
              <w:right w:w="15" w:type="dxa"/>
            </w:tcMar>
            <w:vAlign w:val="center"/>
          </w:tcPr>
          <w:p w14:paraId="2DCC8AB0">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生产厂商</w:t>
            </w:r>
          </w:p>
        </w:tc>
        <w:tc>
          <w:tcPr>
            <w:tcW w:w="534"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41E22DAA">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产地</w:t>
            </w:r>
          </w:p>
        </w:tc>
        <w:tc>
          <w:tcPr>
            <w:tcW w:w="499"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14:paraId="7A9B1D4F">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质保期</w:t>
            </w:r>
          </w:p>
        </w:tc>
        <w:tc>
          <w:tcPr>
            <w:tcW w:w="437" w:type="dxa"/>
            <w:tcBorders>
              <w:top w:val="single" w:color="auto" w:sz="6" w:space="0"/>
              <w:left w:val="single" w:color="auto" w:sz="4" w:space="0"/>
              <w:bottom w:val="single" w:color="auto" w:sz="6" w:space="0"/>
              <w:right w:val="single" w:color="auto" w:sz="6" w:space="0"/>
            </w:tcBorders>
            <w:shd w:val="clear" w:color="auto" w:fill="E0E0E0"/>
            <w:tcMar>
              <w:top w:w="15" w:type="dxa"/>
              <w:left w:w="15" w:type="dxa"/>
              <w:bottom w:w="0" w:type="dxa"/>
              <w:right w:w="15" w:type="dxa"/>
            </w:tcMar>
            <w:vAlign w:val="center"/>
          </w:tcPr>
          <w:p w14:paraId="232B3127">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备注</w:t>
            </w:r>
          </w:p>
        </w:tc>
      </w:tr>
      <w:tr w14:paraId="54C73C5B">
        <w:trPr>
          <w:cantSplit/>
          <w:trHeight w:val="370" w:hRule="atLeast"/>
        </w:trPr>
        <w:tc>
          <w:tcPr>
            <w:tcW w:w="610" w:type="dxa"/>
            <w:tcBorders>
              <w:top w:val="single" w:color="auto" w:sz="6" w:space="0"/>
              <w:left w:val="single" w:color="auto" w:sz="6" w:space="0"/>
              <w:bottom w:val="single" w:color="auto" w:sz="4" w:space="0"/>
              <w:right w:val="single" w:color="auto" w:sz="6" w:space="0"/>
            </w:tcBorders>
            <w:vAlign w:val="center"/>
          </w:tcPr>
          <w:p w14:paraId="1CFC91D9">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1570" w:type="dxa"/>
            <w:tcBorders>
              <w:top w:val="single" w:color="auto" w:sz="6" w:space="0"/>
              <w:left w:val="single" w:color="auto" w:sz="6" w:space="0"/>
              <w:bottom w:val="single" w:color="auto" w:sz="4" w:space="0"/>
              <w:right w:val="single" w:color="auto" w:sz="6" w:space="0"/>
            </w:tcBorders>
            <w:tcMar>
              <w:top w:w="15" w:type="dxa"/>
              <w:left w:w="15" w:type="dxa"/>
              <w:bottom w:w="0" w:type="dxa"/>
              <w:right w:w="15" w:type="dxa"/>
            </w:tcMar>
          </w:tcPr>
          <w:p w14:paraId="2F5165D1">
            <w:pPr>
              <w:spacing w:line="420" w:lineRule="exact"/>
              <w:rPr>
                <w:rFonts w:ascii="微软雅黑" w:hAnsi="微软雅黑" w:eastAsia="微软雅黑" w:cs="微软雅黑"/>
                <w:szCs w:val="21"/>
              </w:rPr>
            </w:pPr>
            <w:r>
              <w:rPr>
                <w:rFonts w:hint="eastAsia" w:ascii="微软雅黑" w:hAnsi="微软雅黑" w:eastAsia="微软雅黑" w:cs="微软雅黑"/>
                <w:szCs w:val="21"/>
              </w:rPr>
              <w:t>（请勿缺项）</w:t>
            </w:r>
          </w:p>
          <w:p w14:paraId="4E154352">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 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4A65DC1D">
            <w:pPr>
              <w:spacing w:line="420" w:lineRule="exact"/>
              <w:jc w:val="center"/>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1D8EC20">
            <w:pPr>
              <w:snapToGrid w:val="0"/>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004C05FA">
            <w:pPr>
              <w:spacing w:line="420" w:lineRule="exact"/>
              <w:jc w:val="center"/>
              <w:rPr>
                <w:rFonts w:ascii="微软雅黑" w:hAnsi="微软雅黑" w:eastAsia="微软雅黑" w:cs="微软雅黑"/>
                <w:b/>
                <w:szCs w:val="21"/>
              </w:rPr>
            </w:pPr>
          </w:p>
        </w:tc>
        <w:tc>
          <w:tcPr>
            <w:tcW w:w="726" w:type="dxa"/>
            <w:tcBorders>
              <w:top w:val="single" w:color="auto" w:sz="6" w:space="0"/>
              <w:left w:val="single" w:color="auto" w:sz="4" w:space="0"/>
              <w:bottom w:val="single" w:color="auto" w:sz="6" w:space="0"/>
              <w:right w:val="single" w:color="auto" w:sz="4" w:space="0"/>
            </w:tcBorders>
          </w:tcPr>
          <w:p w14:paraId="17BD2257">
            <w:pPr>
              <w:snapToGrid w:val="0"/>
              <w:spacing w:line="420" w:lineRule="exact"/>
              <w:jc w:val="center"/>
              <w:rPr>
                <w:rFonts w:ascii="微软雅黑" w:hAnsi="微软雅黑" w:eastAsia="微软雅黑" w:cs="微软雅黑"/>
                <w:b/>
                <w:szCs w:val="21"/>
              </w:rPr>
            </w:pPr>
          </w:p>
        </w:tc>
        <w:tc>
          <w:tcPr>
            <w:tcW w:w="781" w:type="dxa"/>
            <w:tcBorders>
              <w:top w:val="single" w:color="auto" w:sz="6" w:space="0"/>
              <w:left w:val="single" w:color="auto" w:sz="4" w:space="0"/>
              <w:bottom w:val="single" w:color="auto" w:sz="6" w:space="0"/>
              <w:right w:val="single" w:color="auto" w:sz="4" w:space="0"/>
            </w:tcBorders>
          </w:tcPr>
          <w:p w14:paraId="2960DF39">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4" w:space="0"/>
              <w:bottom w:val="single" w:color="auto" w:sz="6" w:space="0"/>
              <w:right w:val="single" w:color="auto" w:sz="6" w:space="0"/>
            </w:tcBorders>
          </w:tcPr>
          <w:p w14:paraId="3BAFA3C2">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14:paraId="18479AA3">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14:paraId="3C54B142">
            <w:pPr>
              <w:snapToGrid w:val="0"/>
              <w:spacing w:line="420" w:lineRule="exact"/>
              <w:jc w:val="center"/>
              <w:rPr>
                <w:rFonts w:ascii="微软雅黑" w:hAnsi="微软雅黑" w:eastAsia="微软雅黑" w:cs="微软雅黑"/>
                <w:b/>
                <w:szCs w:val="21"/>
              </w:rPr>
            </w:pPr>
          </w:p>
        </w:tc>
        <w:tc>
          <w:tcPr>
            <w:tcW w:w="499" w:type="dxa"/>
            <w:tcBorders>
              <w:top w:val="single" w:color="auto" w:sz="6" w:space="0"/>
              <w:left w:val="single" w:color="auto" w:sz="6" w:space="0"/>
              <w:bottom w:val="single" w:color="auto" w:sz="6" w:space="0"/>
              <w:right w:val="single" w:color="auto" w:sz="4" w:space="0"/>
            </w:tcBorders>
          </w:tcPr>
          <w:p w14:paraId="32595E32">
            <w:pPr>
              <w:snapToGrid w:val="0"/>
              <w:spacing w:line="420" w:lineRule="exact"/>
              <w:jc w:val="center"/>
              <w:rPr>
                <w:rFonts w:ascii="微软雅黑" w:hAnsi="微软雅黑" w:eastAsia="微软雅黑" w:cs="微软雅黑"/>
                <w:b/>
                <w:szCs w:val="21"/>
              </w:rPr>
            </w:pPr>
          </w:p>
        </w:tc>
        <w:tc>
          <w:tcPr>
            <w:tcW w:w="437" w:type="dxa"/>
            <w:tcBorders>
              <w:top w:val="single" w:color="auto" w:sz="6" w:space="0"/>
              <w:left w:val="single" w:color="auto" w:sz="4" w:space="0"/>
              <w:bottom w:val="single" w:color="auto" w:sz="6" w:space="0"/>
              <w:right w:val="single" w:color="auto" w:sz="6" w:space="0"/>
            </w:tcBorders>
          </w:tcPr>
          <w:p w14:paraId="672BCC3F">
            <w:pPr>
              <w:snapToGrid w:val="0"/>
              <w:spacing w:line="420" w:lineRule="exact"/>
              <w:jc w:val="center"/>
              <w:rPr>
                <w:rFonts w:ascii="微软雅黑" w:hAnsi="微软雅黑" w:eastAsia="微软雅黑" w:cs="微软雅黑"/>
                <w:b/>
                <w:szCs w:val="21"/>
              </w:rPr>
            </w:pPr>
          </w:p>
        </w:tc>
      </w:tr>
      <w:tr w14:paraId="414CC479">
        <w:trPr>
          <w:cantSplit/>
          <w:trHeight w:val="374" w:hRule="atLeast"/>
        </w:trPr>
        <w:tc>
          <w:tcPr>
            <w:tcW w:w="610" w:type="dxa"/>
            <w:tcBorders>
              <w:top w:val="single" w:color="auto" w:sz="4" w:space="0"/>
              <w:left w:val="single" w:color="auto" w:sz="6" w:space="0"/>
              <w:bottom w:val="single" w:color="auto" w:sz="4" w:space="0"/>
              <w:right w:val="single" w:color="auto" w:sz="6" w:space="0"/>
            </w:tcBorders>
            <w:vAlign w:val="center"/>
          </w:tcPr>
          <w:p w14:paraId="7F768CC6">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62928D6A">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CEC71A">
            <w:pPr>
              <w:spacing w:line="420" w:lineRule="exact"/>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DC2E4C4">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vAlign w:val="center"/>
          </w:tcPr>
          <w:p w14:paraId="14C63E34">
            <w:pPr>
              <w:spacing w:line="420" w:lineRule="exact"/>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vAlign w:val="center"/>
          </w:tcPr>
          <w:p w14:paraId="2D18F21A">
            <w:pPr>
              <w:spacing w:line="420" w:lineRule="exact"/>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vAlign w:val="center"/>
          </w:tcPr>
          <w:p w14:paraId="0C1FA247">
            <w:pPr>
              <w:spacing w:line="420" w:lineRule="exact"/>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vAlign w:val="center"/>
          </w:tcPr>
          <w:p w14:paraId="14DDE49F">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14:paraId="73EEFED8">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14:paraId="667B9235">
            <w:pPr>
              <w:spacing w:line="420" w:lineRule="exact"/>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vAlign w:val="center"/>
          </w:tcPr>
          <w:p w14:paraId="3F19387A">
            <w:pPr>
              <w:spacing w:line="420" w:lineRule="exact"/>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vAlign w:val="center"/>
          </w:tcPr>
          <w:p w14:paraId="11FAEE93">
            <w:pPr>
              <w:spacing w:line="420" w:lineRule="exact"/>
              <w:rPr>
                <w:rFonts w:ascii="微软雅黑" w:hAnsi="微软雅黑" w:eastAsia="微软雅黑" w:cs="微软雅黑"/>
                <w:szCs w:val="21"/>
              </w:rPr>
            </w:pPr>
          </w:p>
        </w:tc>
      </w:tr>
      <w:tr w14:paraId="4DBC3C82">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786F7D8A">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2C5CCDDA">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49C9461">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23971CC9">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50A26BA4">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535204B7">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6FF29195">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5B4A5C86">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4A95F03B">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35D77C88">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22175142">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614AE4EB">
            <w:pPr>
              <w:spacing w:line="420" w:lineRule="exact"/>
              <w:jc w:val="center"/>
              <w:rPr>
                <w:rFonts w:ascii="微软雅黑" w:hAnsi="微软雅黑" w:eastAsia="微软雅黑" w:cs="微软雅黑"/>
                <w:szCs w:val="21"/>
              </w:rPr>
            </w:pPr>
          </w:p>
        </w:tc>
      </w:tr>
      <w:tr w14:paraId="5B6F5B45">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727CE016">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2BFFDB5D">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安装调试、培训、售后服务等其他所有费用（请列明细）</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66912CC3">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71D1F81">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215C4DA9">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5CD53611">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288AE6CA">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0E38C7B1">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580B1B98">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6E492C8D">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7F22899B">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62D8B6DC">
            <w:pPr>
              <w:spacing w:line="420" w:lineRule="exact"/>
              <w:jc w:val="center"/>
              <w:rPr>
                <w:rFonts w:ascii="微软雅黑" w:hAnsi="微软雅黑" w:eastAsia="微软雅黑" w:cs="微软雅黑"/>
                <w:szCs w:val="21"/>
              </w:rPr>
            </w:pPr>
          </w:p>
        </w:tc>
      </w:tr>
      <w:tr w14:paraId="59CCC806">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37BC3578">
            <w:pPr>
              <w:spacing w:line="420" w:lineRule="exact"/>
              <w:jc w:val="center"/>
              <w:rPr>
                <w:rFonts w:ascii="微软雅黑" w:hAnsi="微软雅黑" w:eastAsia="微软雅黑" w:cs="微软雅黑"/>
                <w:szCs w:val="21"/>
                <w:highlight w:val="yellow"/>
              </w:rPr>
            </w:pPr>
            <w:r>
              <w:rPr>
                <w:rFonts w:hint="eastAsia" w:ascii="微软雅黑" w:hAnsi="微软雅黑" w:eastAsia="微软雅黑" w:cs="微软雅黑"/>
                <w:szCs w:val="21"/>
              </w:rPr>
              <w:t>5</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5C9DFDB9">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D80CCA1">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A2EED93">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2C2F2153">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6D9B2BD5">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255EB5D9">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03E35649">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7573FA7B">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28FAA331">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68541F75">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6530AD87">
            <w:pPr>
              <w:spacing w:line="420" w:lineRule="exact"/>
              <w:jc w:val="center"/>
              <w:rPr>
                <w:rFonts w:ascii="微软雅黑" w:hAnsi="微软雅黑" w:eastAsia="微软雅黑" w:cs="微软雅黑"/>
                <w:szCs w:val="21"/>
              </w:rPr>
            </w:pPr>
          </w:p>
        </w:tc>
      </w:tr>
      <w:tr w14:paraId="4773B8A5">
        <w:trPr>
          <w:cantSplit/>
          <w:trHeight w:val="520" w:hRule="atLeast"/>
        </w:trPr>
        <w:tc>
          <w:tcPr>
            <w:tcW w:w="3094" w:type="dxa"/>
            <w:gridSpan w:val="3"/>
            <w:tcBorders>
              <w:top w:val="single" w:color="auto" w:sz="6" w:space="0"/>
              <w:left w:val="single" w:color="auto" w:sz="6" w:space="0"/>
              <w:bottom w:val="single" w:color="auto" w:sz="6" w:space="0"/>
              <w:right w:val="single" w:color="auto" w:sz="4" w:space="0"/>
            </w:tcBorders>
            <w:vAlign w:val="center"/>
          </w:tcPr>
          <w:p w14:paraId="566962C4">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比价报价总计</w:t>
            </w:r>
          </w:p>
        </w:tc>
        <w:tc>
          <w:tcPr>
            <w:tcW w:w="5246" w:type="dxa"/>
            <w:gridSpan w:val="9"/>
            <w:tcBorders>
              <w:top w:val="single" w:color="auto" w:sz="4" w:space="0"/>
              <w:left w:val="single" w:color="auto" w:sz="4" w:space="0"/>
              <w:bottom w:val="single" w:color="auto" w:sz="4" w:space="0"/>
              <w:right w:val="single" w:color="auto" w:sz="4" w:space="0"/>
            </w:tcBorders>
            <w:vAlign w:val="center"/>
          </w:tcPr>
          <w:p w14:paraId="709C0BA8">
            <w:pPr>
              <w:snapToGrid w:val="0"/>
              <w:spacing w:line="420" w:lineRule="exact"/>
              <w:rPr>
                <w:rFonts w:ascii="微软雅黑" w:hAnsi="微软雅黑" w:eastAsia="微软雅黑" w:cs="微软雅黑"/>
                <w:szCs w:val="21"/>
              </w:rPr>
            </w:pPr>
            <w:r>
              <w:rPr>
                <w:rFonts w:hint="eastAsia" w:ascii="微软雅黑" w:hAnsi="微软雅黑" w:eastAsia="微软雅黑" w:cs="微软雅黑"/>
                <w:szCs w:val="21"/>
              </w:rPr>
              <w:t>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圆整   ￥：</w:t>
            </w:r>
            <w:r>
              <w:rPr>
                <w:rFonts w:hint="eastAsia" w:ascii="微软雅黑" w:hAnsi="微软雅黑" w:eastAsia="微软雅黑" w:cs="微软雅黑"/>
                <w:szCs w:val="21"/>
                <w:u w:val="single"/>
              </w:rPr>
              <w:t xml:space="preserve">  </w:t>
            </w:r>
          </w:p>
        </w:tc>
      </w:tr>
    </w:tbl>
    <w:p w14:paraId="453F5428"/>
    <w:p w14:paraId="39482677">
      <w:pPr>
        <w:spacing w:line="420" w:lineRule="exact"/>
        <w:rPr>
          <w:rFonts w:ascii="微软雅黑" w:hAnsi="微软雅黑" w:eastAsia="微软雅黑" w:cs="微软雅黑"/>
          <w:bCs/>
          <w:sz w:val="22"/>
        </w:rPr>
      </w:pPr>
      <w:r>
        <w:rPr>
          <w:rFonts w:hint="eastAsia" w:ascii="微软雅黑" w:hAnsi="微软雅黑" w:eastAsia="微软雅黑" w:cs="微软雅黑"/>
          <w:bCs/>
          <w:sz w:val="22"/>
        </w:rPr>
        <w:t xml:space="preserve">比价单位全称：（公章）     </w:t>
      </w:r>
    </w:p>
    <w:p w14:paraId="6FB65777">
      <w:pPr>
        <w:spacing w:line="420" w:lineRule="exact"/>
        <w:rPr>
          <w:rFonts w:ascii="微软雅黑" w:hAnsi="微软雅黑" w:eastAsia="微软雅黑" w:cs="微软雅黑"/>
          <w:b/>
          <w:sz w:val="24"/>
          <w:u w:val="single"/>
        </w:rPr>
      </w:pPr>
      <w:r>
        <w:rPr>
          <w:rFonts w:hint="eastAsia" w:ascii="微软雅黑" w:hAnsi="微软雅黑" w:eastAsia="微软雅黑" w:cs="微软雅黑"/>
          <w:bCs/>
          <w:sz w:val="22"/>
        </w:rPr>
        <w:t>法定代表人（</w:t>
      </w:r>
      <w:r>
        <w:rPr>
          <w:rFonts w:hint="eastAsia" w:ascii="微软雅黑" w:hAnsi="微软雅黑" w:eastAsia="微软雅黑" w:cs="微软雅黑"/>
          <w:sz w:val="22"/>
        </w:rPr>
        <w:t>或</w:t>
      </w:r>
      <w:r>
        <w:rPr>
          <w:rFonts w:hint="eastAsia" w:ascii="微软雅黑" w:hAnsi="微软雅黑" w:eastAsia="微软雅黑" w:cs="微软雅黑"/>
          <w:bCs/>
          <w:sz w:val="22"/>
        </w:rPr>
        <w:t>授权代表）：</w:t>
      </w:r>
      <w:r>
        <w:rPr>
          <w:rFonts w:hint="eastAsia" w:ascii="微软雅黑" w:hAnsi="微软雅黑" w:eastAsia="微软雅黑" w:cs="微软雅黑"/>
          <w:sz w:val="22"/>
        </w:rPr>
        <w:t>（签字或盖章）</w:t>
      </w:r>
      <w:r>
        <w:rPr>
          <w:rFonts w:hint="eastAsia" w:ascii="微软雅黑" w:hAnsi="微软雅黑" w:eastAsia="微软雅黑" w:cs="微软雅黑"/>
          <w:b/>
          <w:sz w:val="22"/>
          <w:u w:val="single"/>
        </w:rPr>
        <w:t xml:space="preserve">           </w:t>
      </w:r>
    </w:p>
    <w:p w14:paraId="3E1FB2CE">
      <w:pPr>
        <w:widowControl/>
        <w:jc w:val="left"/>
        <w:rPr>
          <w:rFonts w:ascii="微软雅黑" w:hAnsi="微软雅黑" w:eastAsia="微软雅黑" w:cs="微软雅黑"/>
          <w:kern w:val="0"/>
          <w:sz w:val="18"/>
          <w:szCs w:val="18"/>
        </w:rPr>
      </w:pPr>
    </w:p>
    <w:p w14:paraId="565EE2FA">
      <w:pPr>
        <w:widowControl/>
        <w:jc w:val="left"/>
        <w:rPr>
          <w:rFonts w:ascii="黑体" w:hAnsi="黑体" w:eastAsia="黑体" w:cs="黑体"/>
          <w:kern w:val="0"/>
          <w:sz w:val="18"/>
          <w:szCs w:val="18"/>
        </w:rPr>
      </w:pPr>
      <w:r>
        <w:rPr>
          <w:rFonts w:hint="eastAsia" w:ascii="黑体" w:hAnsi="黑体" w:eastAsia="黑体" w:cs="黑体"/>
          <w:kern w:val="0"/>
          <w:sz w:val="18"/>
          <w:szCs w:val="18"/>
        </w:rPr>
        <w:t>注： </w:t>
      </w:r>
    </w:p>
    <w:p w14:paraId="76B791DC">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此表为表样，行数可自行添加，但表式不变。</w:t>
      </w:r>
    </w:p>
    <w:p w14:paraId="076E7621">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相关安装调试费用、质保及人员培训、后续服务及其他所有费用由供应商自行计算填列。</w:t>
      </w:r>
    </w:p>
    <w:p w14:paraId="352A33FB">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总价=单价*数量，数量由供应商自行计算并填列。</w:t>
      </w:r>
    </w:p>
    <w:p w14:paraId="5B5D2298">
      <w:pPr>
        <w:numPr>
          <w:ilvl w:val="0"/>
          <w:numId w:val="2"/>
        </w:numPr>
        <w:tabs>
          <w:tab w:val="left" w:pos="220"/>
        </w:tabs>
        <w:ind w:left="225" w:hanging="225"/>
        <w:jc w:val="left"/>
        <w:rPr>
          <w:rFonts w:ascii="黑体" w:hAnsi="黑体" w:eastAsia="黑体" w:cs="黑体"/>
          <w:sz w:val="18"/>
          <w:szCs w:val="18"/>
        </w:rPr>
      </w:pPr>
      <w:r>
        <w:rPr>
          <w:rFonts w:hint="eastAsia" w:ascii="黑体" w:hAnsi="黑体" w:eastAsia="黑体" w:cs="黑体"/>
          <w:sz w:val="18"/>
          <w:szCs w:val="18"/>
        </w:rPr>
        <w:t>比价价应包括但不限于完成该项目所有的费用：制造、加工、检验、包装、供货、运输、保险、装卸至现场、安装、调试、技术指导培训、质保期服务、税金及比价人认为需要的其他相关费用等；每一单项均应计算并填写单价和总价和其相应的单价分析表，并由法定代表人或授权委托代理人签署。比价单位未填单价或总价的项目，在实施后，采购单位将不予支付，并视为该项费用已包括在其它有价款的单价或总价内。</w:t>
      </w:r>
    </w:p>
    <w:p w14:paraId="5DFE4836"/>
    <w:p w14:paraId="37E37222">
      <w:pPr>
        <w:pStyle w:val="5"/>
        <w:spacing w:line="420" w:lineRule="exact"/>
        <w:jc w:val="center"/>
        <w:rPr>
          <w:rFonts w:ascii="微软雅黑" w:hAnsi="微软雅黑" w:eastAsia="微软雅黑" w:cs="微软雅黑"/>
          <w:sz w:val="28"/>
          <w:szCs w:val="28"/>
        </w:rPr>
      </w:pPr>
      <w:bookmarkStart w:id="3" w:name="_Toc11042"/>
      <w:bookmarkStart w:id="4" w:name="_Toc365968480"/>
      <w:r>
        <w:rPr>
          <w:rFonts w:ascii="微软雅黑" w:hAnsi="微软雅黑" w:eastAsia="微软雅黑" w:cs="微软雅黑"/>
          <w:sz w:val="28"/>
          <w:szCs w:val="28"/>
        </w:rPr>
        <w:br w:type="page"/>
      </w:r>
      <w:r>
        <w:rPr>
          <w:rFonts w:hint="eastAsia" w:ascii="微软雅黑" w:hAnsi="微软雅黑" w:eastAsia="微软雅黑" w:cs="微软雅黑"/>
          <w:sz w:val="28"/>
          <w:szCs w:val="28"/>
        </w:rPr>
        <w:t>4.技术要求响应表</w:t>
      </w:r>
      <w:bookmarkEnd w:id="3"/>
      <w:bookmarkEnd w:id="4"/>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2269"/>
        <w:gridCol w:w="2456"/>
        <w:gridCol w:w="1712"/>
        <w:gridCol w:w="1134"/>
      </w:tblGrid>
      <w:tr w14:paraId="12E489FF">
        <w:trPr>
          <w:trHeight w:val="643" w:hRule="atLeast"/>
        </w:trPr>
        <w:tc>
          <w:tcPr>
            <w:tcW w:w="901" w:type="dxa"/>
            <w:tcBorders>
              <w:top w:val="single" w:color="auto" w:sz="4" w:space="0"/>
              <w:left w:val="single" w:color="auto" w:sz="4" w:space="0"/>
              <w:bottom w:val="single" w:color="auto" w:sz="4" w:space="0"/>
              <w:right w:val="single" w:color="auto" w:sz="4" w:space="0"/>
            </w:tcBorders>
            <w:vAlign w:val="center"/>
          </w:tcPr>
          <w:p w14:paraId="072AE0D0">
            <w:pPr>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2269" w:type="dxa"/>
            <w:tcBorders>
              <w:top w:val="single" w:color="auto" w:sz="4" w:space="0"/>
              <w:left w:val="single" w:color="auto" w:sz="4" w:space="0"/>
              <w:bottom w:val="single" w:color="auto" w:sz="4" w:space="0"/>
              <w:right w:val="single" w:color="auto" w:sz="4" w:space="0"/>
            </w:tcBorders>
            <w:vAlign w:val="center"/>
          </w:tcPr>
          <w:p w14:paraId="6F245805">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2456" w:type="dxa"/>
            <w:tcBorders>
              <w:top w:val="single" w:color="auto" w:sz="4" w:space="0"/>
              <w:left w:val="single" w:color="auto" w:sz="4" w:space="0"/>
              <w:bottom w:val="single" w:color="auto" w:sz="4" w:space="0"/>
              <w:right w:val="single" w:color="auto" w:sz="4" w:space="0"/>
            </w:tcBorders>
            <w:vAlign w:val="center"/>
          </w:tcPr>
          <w:p w14:paraId="61D16FA4">
            <w:pPr>
              <w:jc w:val="center"/>
              <w:rPr>
                <w:rFonts w:ascii="微软雅黑" w:hAnsi="微软雅黑" w:eastAsia="微软雅黑" w:cs="微软雅黑"/>
                <w:b/>
                <w:bCs/>
                <w:szCs w:val="21"/>
              </w:rPr>
            </w:pPr>
            <w:r>
              <w:rPr>
                <w:rFonts w:hint="eastAsia" w:ascii="微软雅黑" w:hAnsi="微软雅黑" w:eastAsia="微软雅黑" w:cs="微软雅黑"/>
                <w:b/>
                <w:bCs/>
                <w:szCs w:val="21"/>
              </w:rPr>
              <w:t>原技术方案条款描述</w:t>
            </w:r>
          </w:p>
        </w:tc>
        <w:tc>
          <w:tcPr>
            <w:tcW w:w="1712" w:type="dxa"/>
            <w:tcBorders>
              <w:top w:val="single" w:color="auto" w:sz="4" w:space="0"/>
              <w:left w:val="single" w:color="auto" w:sz="4" w:space="0"/>
              <w:bottom w:val="single" w:color="auto" w:sz="4" w:space="0"/>
              <w:right w:val="single" w:color="auto" w:sz="4" w:space="0"/>
            </w:tcBorders>
            <w:vAlign w:val="center"/>
          </w:tcPr>
          <w:p w14:paraId="5D6D6F0E">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响应供应商的承诺或说明</w:t>
            </w:r>
          </w:p>
        </w:tc>
        <w:tc>
          <w:tcPr>
            <w:tcW w:w="1134" w:type="dxa"/>
            <w:tcBorders>
              <w:top w:val="single" w:color="auto" w:sz="4" w:space="0"/>
              <w:left w:val="single" w:color="auto" w:sz="4" w:space="0"/>
              <w:bottom w:val="single" w:color="auto" w:sz="4" w:space="0"/>
              <w:right w:val="single" w:color="auto" w:sz="4" w:space="0"/>
            </w:tcBorders>
            <w:vAlign w:val="center"/>
          </w:tcPr>
          <w:p w14:paraId="24455FBD">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偏离</w:t>
            </w:r>
          </w:p>
          <w:p w14:paraId="0024F8F4">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情况</w:t>
            </w:r>
          </w:p>
        </w:tc>
      </w:tr>
      <w:tr w14:paraId="7B18A935">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5B64C215">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269" w:type="dxa"/>
            <w:tcBorders>
              <w:top w:val="single" w:color="auto" w:sz="4" w:space="0"/>
              <w:left w:val="single" w:color="auto" w:sz="4" w:space="0"/>
              <w:bottom w:val="single" w:color="auto" w:sz="4" w:space="0"/>
              <w:right w:val="single" w:color="auto" w:sz="4" w:space="0"/>
            </w:tcBorders>
            <w:vAlign w:val="center"/>
          </w:tcPr>
          <w:p w14:paraId="2B5D2D37">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4D7C4372">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7DC5B637">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44736B">
            <w:pPr>
              <w:rPr>
                <w:rFonts w:ascii="微软雅黑" w:hAnsi="微软雅黑" w:eastAsia="微软雅黑" w:cs="微软雅黑"/>
                <w:szCs w:val="21"/>
              </w:rPr>
            </w:pPr>
          </w:p>
        </w:tc>
      </w:tr>
      <w:tr w14:paraId="2EC0FCCA">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11428BD8">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269" w:type="dxa"/>
            <w:tcBorders>
              <w:top w:val="single" w:color="auto" w:sz="4" w:space="0"/>
              <w:left w:val="single" w:color="auto" w:sz="4" w:space="0"/>
              <w:bottom w:val="single" w:color="auto" w:sz="4" w:space="0"/>
              <w:right w:val="single" w:color="auto" w:sz="4" w:space="0"/>
            </w:tcBorders>
            <w:vAlign w:val="center"/>
          </w:tcPr>
          <w:p w14:paraId="2E32E3D5">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3E929545">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33F4153E">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F09A64">
            <w:pPr>
              <w:rPr>
                <w:rFonts w:ascii="微软雅黑" w:hAnsi="微软雅黑" w:eastAsia="微软雅黑" w:cs="微软雅黑"/>
                <w:szCs w:val="21"/>
              </w:rPr>
            </w:pPr>
          </w:p>
        </w:tc>
      </w:tr>
      <w:tr w14:paraId="0C6899EA">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29C95CD7">
            <w:pPr>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2269" w:type="dxa"/>
            <w:tcBorders>
              <w:top w:val="single" w:color="auto" w:sz="4" w:space="0"/>
              <w:left w:val="single" w:color="auto" w:sz="4" w:space="0"/>
              <w:bottom w:val="single" w:color="auto" w:sz="4" w:space="0"/>
              <w:right w:val="single" w:color="auto" w:sz="4" w:space="0"/>
            </w:tcBorders>
            <w:vAlign w:val="center"/>
          </w:tcPr>
          <w:p w14:paraId="41E8C630">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172235F6">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2389BE9D">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0CB98A">
            <w:pPr>
              <w:rPr>
                <w:rFonts w:ascii="微软雅黑" w:hAnsi="微软雅黑" w:eastAsia="微软雅黑" w:cs="微软雅黑"/>
                <w:szCs w:val="21"/>
              </w:rPr>
            </w:pPr>
          </w:p>
        </w:tc>
      </w:tr>
      <w:tr w14:paraId="3A0975E8">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530D7380">
            <w:pPr>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2269" w:type="dxa"/>
            <w:tcBorders>
              <w:top w:val="single" w:color="auto" w:sz="4" w:space="0"/>
              <w:left w:val="single" w:color="auto" w:sz="4" w:space="0"/>
              <w:bottom w:val="single" w:color="auto" w:sz="4" w:space="0"/>
              <w:right w:val="single" w:color="auto" w:sz="4" w:space="0"/>
            </w:tcBorders>
            <w:vAlign w:val="center"/>
          </w:tcPr>
          <w:p w14:paraId="7D0E7B0B">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2AA7AE9D">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28DE672E">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7ACE38F">
            <w:pPr>
              <w:rPr>
                <w:rFonts w:ascii="微软雅黑" w:hAnsi="微软雅黑" w:eastAsia="微软雅黑" w:cs="微软雅黑"/>
                <w:szCs w:val="21"/>
              </w:rPr>
            </w:pPr>
          </w:p>
        </w:tc>
      </w:tr>
      <w:tr w14:paraId="425884ED">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58F18647">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2269" w:type="dxa"/>
            <w:tcBorders>
              <w:top w:val="single" w:color="auto" w:sz="4" w:space="0"/>
              <w:left w:val="single" w:color="auto" w:sz="4" w:space="0"/>
              <w:bottom w:val="single" w:color="auto" w:sz="4" w:space="0"/>
              <w:right w:val="single" w:color="auto" w:sz="4" w:space="0"/>
            </w:tcBorders>
            <w:vAlign w:val="center"/>
          </w:tcPr>
          <w:p w14:paraId="065987DC">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45459DC4">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39A6E486">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5FB1D83">
            <w:pPr>
              <w:rPr>
                <w:rFonts w:ascii="微软雅黑" w:hAnsi="微软雅黑" w:eastAsia="微软雅黑" w:cs="微软雅黑"/>
                <w:szCs w:val="21"/>
              </w:rPr>
            </w:pPr>
          </w:p>
        </w:tc>
      </w:tr>
      <w:tr w14:paraId="0725DE49">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6FC18B2C">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269" w:type="dxa"/>
            <w:tcBorders>
              <w:top w:val="single" w:color="auto" w:sz="4" w:space="0"/>
              <w:left w:val="single" w:color="auto" w:sz="4" w:space="0"/>
              <w:bottom w:val="single" w:color="auto" w:sz="4" w:space="0"/>
              <w:right w:val="single" w:color="auto" w:sz="4" w:space="0"/>
            </w:tcBorders>
            <w:vAlign w:val="center"/>
          </w:tcPr>
          <w:p w14:paraId="48140DF7">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456" w:type="dxa"/>
            <w:tcBorders>
              <w:top w:val="single" w:color="auto" w:sz="4" w:space="0"/>
              <w:left w:val="single" w:color="auto" w:sz="4" w:space="0"/>
              <w:bottom w:val="single" w:color="auto" w:sz="4" w:space="0"/>
              <w:right w:val="single" w:color="auto" w:sz="4" w:space="0"/>
            </w:tcBorders>
            <w:vAlign w:val="center"/>
          </w:tcPr>
          <w:p w14:paraId="1E3EB7A4">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250A5CE5">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28867EC">
            <w:pPr>
              <w:rPr>
                <w:rFonts w:ascii="微软雅黑" w:hAnsi="微软雅黑" w:eastAsia="微软雅黑" w:cs="微软雅黑"/>
                <w:szCs w:val="21"/>
              </w:rPr>
            </w:pPr>
          </w:p>
        </w:tc>
      </w:tr>
    </w:tbl>
    <w:p w14:paraId="0FF0FB19">
      <w:pPr>
        <w:jc w:val="right"/>
      </w:pPr>
    </w:p>
    <w:p w14:paraId="5E08CBAE">
      <w:pPr>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 xml:space="preserve">响应供应商全称（公章）：        </w:t>
      </w:r>
    </w:p>
    <w:p w14:paraId="60ED38FF">
      <w:pPr>
        <w:spacing w:line="420" w:lineRule="exact"/>
        <w:ind w:firstLine="110" w:firstLineChars="50"/>
      </w:pPr>
      <w:r>
        <w:rPr>
          <w:rFonts w:hint="eastAsia" w:ascii="微软雅黑" w:hAnsi="微软雅黑" w:eastAsia="微软雅黑" w:cs="微软雅黑"/>
          <w:sz w:val="22"/>
        </w:rPr>
        <w:t xml:space="preserve">法定代表人（或授权代表）（签字/盖章）： </w:t>
      </w:r>
      <w:r>
        <w:rPr>
          <w:rFonts w:hint="eastAsia"/>
        </w:rPr>
        <w:t xml:space="preserve">   </w:t>
      </w:r>
    </w:p>
    <w:p w14:paraId="017FAE88">
      <w:r>
        <w:rPr>
          <w:rFonts w:hint="eastAsia"/>
        </w:rPr>
        <w:t xml:space="preserve">                                                 </w:t>
      </w:r>
    </w:p>
    <w:p w14:paraId="0D813026">
      <w:pPr>
        <w:rPr>
          <w:rFonts w:ascii="宋体" w:hAnsi="宋体"/>
          <w:sz w:val="28"/>
          <w:szCs w:val="28"/>
        </w:rPr>
      </w:pPr>
    </w:p>
    <w:p w14:paraId="7483B6CE">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注：</w:t>
      </w:r>
    </w:p>
    <w:p w14:paraId="476BBF10">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（1）此表为表样，行数可自行添加，但表式不变。</w:t>
      </w:r>
    </w:p>
    <w:p w14:paraId="747EEDDA">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（2）比价单位根据系统方案添加的设备、材料等也请列出。</w:t>
      </w:r>
    </w:p>
    <w:p w14:paraId="6C278EB8">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（3）是否偏离用符号“+、=、-”分别表示正偏离、完全响应、负偏离。</w:t>
      </w:r>
    </w:p>
    <w:p w14:paraId="6A223627">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（4）比价单位对技术参数和功能出现正负偏离的条目列入上表，未列入上表的视为不响应</w:t>
      </w:r>
      <w:r>
        <w:rPr>
          <w:rFonts w:ascii="黑体" w:hAnsi="黑体" w:eastAsia="黑体" w:cs="黑体"/>
          <w:sz w:val="18"/>
          <w:szCs w:val="18"/>
        </w:rPr>
        <w:t>比价</w:t>
      </w:r>
      <w:r>
        <w:rPr>
          <w:rFonts w:hint="eastAsia" w:ascii="黑体" w:hAnsi="黑体" w:eastAsia="黑体" w:cs="黑体"/>
          <w:sz w:val="18"/>
          <w:szCs w:val="18"/>
        </w:rPr>
        <w:t>文件要求。比价单位必须根据所投货物、工程或服务的实际情况如实填写，评委会如发现有虚假描述的，该比价文件视为无效。</w:t>
      </w:r>
    </w:p>
    <w:p w14:paraId="1AA03A6D">
      <w:pPr>
        <w:pStyle w:val="7"/>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（5）若比价文件中出现技术参数和功能与此表表述不一致的，以此表为准。</w:t>
      </w:r>
    </w:p>
    <w:p w14:paraId="2F4755D7">
      <w:pPr>
        <w:spacing w:line="420" w:lineRule="exact"/>
        <w:ind w:left="426" w:hanging="426"/>
        <w:rPr>
          <w:rFonts w:ascii="微软雅黑" w:hAnsi="微软雅黑" w:eastAsia="微软雅黑" w:cs="微软雅黑"/>
          <w:szCs w:val="21"/>
        </w:rPr>
      </w:pPr>
    </w:p>
    <w:p w14:paraId="48755B6B">
      <w:pPr>
        <w:pStyle w:val="8"/>
        <w:ind w:left="1470" w:right="1470"/>
      </w:pPr>
    </w:p>
    <w:p w14:paraId="5752953E">
      <w:pPr>
        <w:pStyle w:val="9"/>
        <w:ind w:left="1260"/>
        <w:rPr>
          <w:rFonts w:ascii="微软雅黑" w:hAnsi="微软雅黑" w:eastAsia="微软雅黑" w:cs="微软雅黑"/>
          <w:szCs w:val="21"/>
        </w:rPr>
      </w:pPr>
    </w:p>
    <w:p w14:paraId="3A1A6D96">
      <w:pPr>
        <w:rPr>
          <w:rFonts w:ascii="微软雅黑" w:hAnsi="微软雅黑" w:eastAsia="微软雅黑" w:cs="微软雅黑"/>
          <w:szCs w:val="21"/>
        </w:rPr>
      </w:pPr>
    </w:p>
    <w:p w14:paraId="7FC3C9AB">
      <w:pPr>
        <w:pStyle w:val="5"/>
        <w:spacing w:line="420" w:lineRule="exact"/>
        <w:jc w:val="center"/>
        <w:rPr>
          <w:rFonts w:ascii="微软雅黑" w:hAnsi="微软雅黑" w:eastAsia="微软雅黑" w:cs="微软雅黑"/>
          <w:sz w:val="28"/>
          <w:szCs w:val="28"/>
        </w:rPr>
      </w:pPr>
      <w:bookmarkStart w:id="5" w:name="_Toc3335"/>
      <w:r>
        <w:rPr>
          <w:rFonts w:hint="eastAsia" w:ascii="微软雅黑" w:hAnsi="微软雅黑" w:eastAsia="微软雅黑" w:cs="微软雅黑"/>
          <w:sz w:val="28"/>
          <w:szCs w:val="28"/>
        </w:rPr>
        <w:t>5.法人授权委托书</w:t>
      </w:r>
      <w:bookmarkEnd w:id="5"/>
    </w:p>
    <w:p w14:paraId="119AAA48">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江苏大学附属医院：</w:t>
      </w:r>
    </w:p>
    <w:p w14:paraId="085F1C26">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本授权书宣告：</w:t>
      </w:r>
    </w:p>
    <w:p w14:paraId="1DFB6CD2">
      <w:pPr>
        <w:snapToGrid w:val="0"/>
        <w:spacing w:line="420" w:lineRule="exact"/>
        <w:rPr>
          <w:rFonts w:ascii="微软雅黑" w:hAnsi="微软雅黑" w:eastAsia="微软雅黑" w:cs="微软雅黑"/>
          <w:color w:val="000000"/>
          <w:szCs w:val="21"/>
          <w:u w:val="single"/>
        </w:rPr>
      </w:pPr>
      <w:r>
        <w:rPr>
          <w:rFonts w:hint="eastAsia" w:ascii="微软雅黑" w:hAnsi="微软雅黑" w:eastAsia="微软雅黑" w:cs="微软雅黑"/>
          <w:color w:val="000000"/>
          <w:szCs w:val="21"/>
        </w:rPr>
        <w:t>委托单位：</w:t>
      </w:r>
      <w:r>
        <w:rPr>
          <w:rFonts w:hint="eastAsia" w:ascii="微软雅黑" w:hAnsi="微软雅黑" w:eastAsia="微软雅黑" w:cs="微软雅黑"/>
          <w:color w:val="000000"/>
          <w:szCs w:val="21"/>
          <w:u w:val="single"/>
        </w:rPr>
        <w:t xml:space="preserve">                                                                        </w:t>
      </w:r>
    </w:p>
    <w:p w14:paraId="2BB5A87D">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法定代表人：</w:t>
      </w:r>
      <w:r>
        <w:rPr>
          <w:rFonts w:hint="eastAsia" w:ascii="微软雅黑" w:hAnsi="微软雅黑" w:eastAsia="微软雅黑" w:cs="微软雅黑"/>
          <w:color w:val="000000"/>
          <w:szCs w:val="21"/>
          <w:u w:val="single"/>
        </w:rPr>
        <w:t xml:space="preserve">                  </w:t>
      </w:r>
    </w:p>
    <w:p w14:paraId="76D64A46">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受托人：姓名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出生日期：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556F90CF">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所在单位：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14:paraId="1DC8CFBE">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身 份 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联系方式</w:t>
      </w:r>
      <w:r>
        <w:rPr>
          <w:rFonts w:hint="eastAsia" w:ascii="微软雅黑" w:hAnsi="微软雅黑" w:eastAsia="微软雅黑" w:cs="微软雅黑"/>
          <w:color w:val="000000"/>
          <w:szCs w:val="21"/>
          <w:u w:val="single"/>
        </w:rPr>
        <w:t xml:space="preserve">:  </w:t>
      </w:r>
    </w:p>
    <w:p w14:paraId="17302D31">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兹委托受托人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合法地代表我单位参加江苏大学组织的项目名称：</w:t>
      </w:r>
      <w:r>
        <w:rPr>
          <w:rFonts w:hint="eastAsia" w:ascii="微软雅黑" w:hAnsi="微软雅黑" w:eastAsia="微软雅黑" w:cs="微软雅黑"/>
          <w:color w:val="000000"/>
          <w:szCs w:val="21"/>
          <w:u w:val="single"/>
        </w:rPr>
        <w:t xml:space="preserve">XX                    </w:t>
      </w:r>
      <w:r>
        <w:rPr>
          <w:rFonts w:hint="eastAsia" w:ascii="微软雅黑" w:hAnsi="微软雅黑" w:eastAsia="微软雅黑" w:cs="微软雅黑"/>
          <w:szCs w:val="21"/>
        </w:rPr>
        <w:t>的采</w:t>
      </w:r>
      <w:r>
        <w:rPr>
          <w:rFonts w:hint="eastAsia" w:ascii="微软雅黑" w:hAnsi="微软雅黑" w:eastAsia="微软雅黑" w:cs="微软雅黑"/>
          <w:color w:val="000000"/>
          <w:szCs w:val="21"/>
        </w:rPr>
        <w:t>购活动，受托人有权在该比价活动中，以我单位的名义签署比价书和比价文件。</w:t>
      </w:r>
    </w:p>
    <w:p w14:paraId="3D62AE45">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受托人在办理上述事宜过程中以其自己的名义所签署的所有文件我均予以承认。受托人无转委托权。</w:t>
      </w:r>
    </w:p>
    <w:p w14:paraId="7C1E0378">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委托期限：至上述事宜处理完毕止。</w:t>
      </w:r>
    </w:p>
    <w:p w14:paraId="3A391F3B">
      <w:pPr>
        <w:spacing w:line="420" w:lineRule="exact"/>
        <w:rPr>
          <w:rFonts w:ascii="微软雅黑" w:hAnsi="微软雅黑" w:eastAsia="微软雅黑" w:cs="微软雅黑"/>
          <w:b/>
          <w:bCs/>
          <w:color w:val="000000"/>
          <w:kern w:val="0"/>
          <w:szCs w:val="21"/>
        </w:rPr>
      </w:pPr>
      <w:r>
        <w:rPr>
          <w:sz w:val="24"/>
          <w:szCs w:val="22"/>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ln>
                      </wps:spPr>
                      <wps:txbx>
                        <w:txbxContent>
                          <w:p w14:paraId="588D3635">
                            <w:pPr>
                              <w:spacing w:line="420" w:lineRule="exact"/>
                              <w:ind w:firstLine="420" w:firstLineChars="200"/>
                              <w:rPr>
                                <w:rFonts w:ascii="微软雅黑" w:hAnsi="微软雅黑" w:eastAsia="微软雅黑" w:cs="微软雅黑"/>
                                <w:b/>
                                <w:bCs/>
                                <w:color w:val="000000"/>
                                <w:kern w:val="0"/>
                                <w:szCs w:val="21"/>
                              </w:rPr>
                            </w:pPr>
                          </w:p>
                          <w:p w14:paraId="2AAB3A62">
                            <w:pPr>
                              <w:spacing w:line="420" w:lineRule="exact"/>
                              <w:ind w:firstLine="420" w:firstLineChars="200"/>
                              <w:rPr>
                                <w:rFonts w:ascii="微软雅黑" w:hAnsi="微软雅黑" w:eastAsia="微软雅黑" w:cs="微软雅黑"/>
                                <w:b/>
                                <w:bCs/>
                                <w:color w:val="000000"/>
                                <w:kern w:val="0"/>
                                <w:szCs w:val="21"/>
                              </w:rPr>
                            </w:pPr>
                          </w:p>
                          <w:p w14:paraId="670DDFA3">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391B37F9">
                            <w:pPr>
                              <w:jc w:val="center"/>
                            </w:pP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231.65pt;margin-top:12.5pt;height:115.15pt;width:180.85pt;z-index:251660288;mso-width-relative:page;mso-height-relative:page;" fillcolor="#FFFFFF" filled="t" stroked="t" coordsize="21600,21600" o:gfxdata="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FeNnnZAAAACgEAAA8AAAAAAAAAAQAgAAAA&#10;IgAAAGRycy9kb3ducmV2LnhtbFBLAQIUABQAAAAIAIdO4kD+sJf2QwIAAIkEAAAOAAAAAAAAAAEA&#10;IAAAACgBAABkcnMvZTJvRG9jLnhtbFBLBQYAAAAABgAGAFkBAADdBQAAAAA=&#10;">
                <v:fill on="t" focussize="0,0"/>
                <v:stroke color="#000000" miterlimit="8" joinstyle="miter"/>
                <v:imagedata o:title=""/>
                <o:lock v:ext="edit" aspectratio="f"/>
                <v:textbox>
                  <w:txbxContent>
                    <w:p w14:paraId="588D3635">
                      <w:pPr>
                        <w:spacing w:line="420" w:lineRule="exact"/>
                        <w:ind w:firstLine="420" w:firstLineChars="200"/>
                        <w:rPr>
                          <w:rFonts w:ascii="微软雅黑" w:hAnsi="微软雅黑" w:eastAsia="微软雅黑" w:cs="微软雅黑"/>
                          <w:b/>
                          <w:bCs/>
                          <w:color w:val="000000"/>
                          <w:kern w:val="0"/>
                          <w:szCs w:val="21"/>
                        </w:rPr>
                      </w:pPr>
                    </w:p>
                    <w:p w14:paraId="2AAB3A62">
                      <w:pPr>
                        <w:spacing w:line="420" w:lineRule="exact"/>
                        <w:ind w:firstLine="420" w:firstLineChars="200"/>
                        <w:rPr>
                          <w:rFonts w:ascii="微软雅黑" w:hAnsi="微软雅黑" w:eastAsia="微软雅黑" w:cs="微软雅黑"/>
                          <w:b/>
                          <w:bCs/>
                          <w:color w:val="000000"/>
                          <w:kern w:val="0"/>
                          <w:szCs w:val="21"/>
                        </w:rPr>
                      </w:pPr>
                    </w:p>
                    <w:p w14:paraId="670DDFA3">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391B37F9">
                      <w:pPr>
                        <w:jc w:val="center"/>
                      </w:pPr>
                    </w:p>
                  </w:txbxContent>
                </v:textbox>
              </v:shape>
            </w:pict>
          </mc:Fallback>
        </mc:AlternateContent>
      </w:r>
      <w:r>
        <w:rPr>
          <w:sz w:val="24"/>
          <w:szCs w:val="22"/>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ln>
                      </wps:spPr>
                      <wps:txbx>
                        <w:txbxContent>
                          <w:p w14:paraId="5A324A03">
                            <w:pPr>
                              <w:jc w:val="center"/>
                              <w:rPr>
                                <w:rFonts w:ascii="微软雅黑" w:hAnsi="微软雅黑" w:eastAsia="微软雅黑" w:cs="微软雅黑"/>
                                <w:b/>
                                <w:bCs/>
                                <w:kern w:val="0"/>
                                <w:sz w:val="24"/>
                              </w:rPr>
                            </w:pPr>
                          </w:p>
                          <w:p w14:paraId="7B3F570F">
                            <w:pPr>
                              <w:jc w:val="center"/>
                              <w:rPr>
                                <w:szCs w:val="21"/>
                              </w:rPr>
                            </w:pPr>
                            <w:r>
                              <w:rPr>
                                <w:rFonts w:hint="eastAsia" w:ascii="微软雅黑" w:hAnsi="微软雅黑" w:eastAsia="微软雅黑" w:cs="微软雅黑"/>
                                <w:b/>
                                <w:bCs/>
                                <w:kern w:val="0"/>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27.1pt;margin-top:13pt;height:114.35pt;width:180.85pt;z-index:251659264;mso-width-relative:page;mso-height-relative:page;" fillcolor="#FFFFFF" filled="t" stroked="t" coordsize="21600,21600" o:gfxdata="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CzesbZAAAACQEAAA8AAAAAAAAAAQAgAAAA&#10;IgAAAGRycy9kb3ducmV2LnhtbFBLAQIUABQAAAAIAIdO4kCO1hXvQwIAAIkEAAAOAAAAAAAAAAEA&#10;IAAAACgBAABkcnMvZTJvRG9jLnhtbFBLBQYAAAAABgAGAFkBAADdBQAAAAA=&#10;">
                <v:fill on="t" focussize="0,0"/>
                <v:stroke color="#000000" miterlimit="8" joinstyle="miter"/>
                <v:imagedata o:title=""/>
                <o:lock v:ext="edit" aspectratio="f"/>
                <v:textbox>
                  <w:txbxContent>
                    <w:p w14:paraId="5A324A03">
                      <w:pPr>
                        <w:jc w:val="center"/>
                        <w:rPr>
                          <w:rFonts w:ascii="微软雅黑" w:hAnsi="微软雅黑" w:eastAsia="微软雅黑" w:cs="微软雅黑"/>
                          <w:b/>
                          <w:bCs/>
                          <w:kern w:val="0"/>
                          <w:sz w:val="24"/>
                        </w:rPr>
                      </w:pPr>
                    </w:p>
                    <w:p w14:paraId="7B3F570F">
                      <w:pPr>
                        <w:jc w:val="center"/>
                        <w:rPr>
                          <w:szCs w:val="21"/>
                        </w:rPr>
                      </w:pPr>
                      <w:r>
                        <w:rPr>
                          <w:rFonts w:hint="eastAsia" w:ascii="微软雅黑" w:hAnsi="微软雅黑" w:eastAsia="微软雅黑" w:cs="微软雅黑"/>
                          <w:b/>
                          <w:bCs/>
                          <w:kern w:val="0"/>
                          <w:szCs w:val="21"/>
                        </w:rPr>
                        <w:t>法定代表人身份证复印件</w:t>
                      </w:r>
                    </w:p>
                  </w:txbxContent>
                </v:textbox>
              </v:shape>
            </w:pict>
          </mc:Fallback>
        </mc:AlternateContent>
      </w:r>
      <w:r>
        <w:rPr>
          <w:rFonts w:hint="eastAsia" w:ascii="微软雅黑" w:hAnsi="微软雅黑" w:eastAsia="微软雅黑" w:cs="微软雅黑"/>
          <w:b/>
          <w:bCs/>
          <w:color w:val="000000"/>
          <w:kern w:val="0"/>
          <w:szCs w:val="21"/>
        </w:rPr>
        <w:t>附：</w:t>
      </w:r>
    </w:p>
    <w:p w14:paraId="5309CC7A">
      <w:pPr>
        <w:spacing w:line="420" w:lineRule="exact"/>
        <w:rPr>
          <w:rFonts w:ascii="微软雅黑" w:hAnsi="微软雅黑" w:eastAsia="微软雅黑" w:cs="微软雅黑"/>
          <w:b/>
          <w:bCs/>
          <w:color w:val="000000"/>
          <w:kern w:val="0"/>
          <w:szCs w:val="21"/>
        </w:rPr>
      </w:pPr>
    </w:p>
    <w:p w14:paraId="04E68C9B">
      <w:pPr>
        <w:spacing w:line="420" w:lineRule="exact"/>
        <w:rPr>
          <w:rFonts w:ascii="微软雅黑" w:hAnsi="微软雅黑" w:eastAsia="微软雅黑" w:cs="微软雅黑"/>
          <w:b/>
          <w:bCs/>
          <w:color w:val="000000"/>
          <w:kern w:val="0"/>
          <w:szCs w:val="21"/>
        </w:rPr>
      </w:pPr>
    </w:p>
    <w:p w14:paraId="47FDC684">
      <w:pPr>
        <w:pStyle w:val="9"/>
        <w:ind w:left="1260"/>
        <w:rPr>
          <w:rFonts w:ascii="微软雅黑" w:hAnsi="微软雅黑" w:eastAsia="微软雅黑" w:cs="微软雅黑"/>
          <w:b/>
          <w:bCs/>
          <w:color w:val="000000"/>
          <w:kern w:val="0"/>
          <w:szCs w:val="21"/>
        </w:rPr>
      </w:pPr>
    </w:p>
    <w:p w14:paraId="7E73CEF8">
      <w:pPr>
        <w:rPr>
          <w:rFonts w:ascii="微软雅黑" w:hAnsi="微软雅黑" w:eastAsia="微软雅黑" w:cs="微软雅黑"/>
          <w:b/>
          <w:bCs/>
          <w:color w:val="000000"/>
          <w:kern w:val="0"/>
          <w:szCs w:val="21"/>
        </w:rPr>
      </w:pPr>
    </w:p>
    <w:p w14:paraId="05AC6DD3">
      <w:pPr>
        <w:pStyle w:val="9"/>
        <w:ind w:left="1260"/>
      </w:pPr>
    </w:p>
    <w:p w14:paraId="55323280">
      <w:pPr>
        <w:snapToGrid w:val="0"/>
        <w:spacing w:line="420" w:lineRule="exact"/>
        <w:ind w:firstLine="440" w:firstLineChars="200"/>
        <w:rPr>
          <w:rFonts w:ascii="微软雅黑" w:hAnsi="微软雅黑" w:eastAsia="微软雅黑" w:cs="微软雅黑"/>
          <w:color w:val="000000"/>
          <w:sz w:val="22"/>
        </w:rPr>
      </w:pPr>
    </w:p>
    <w:p w14:paraId="36EAE5D5">
      <w:pPr>
        <w:snapToGrid w:val="0"/>
        <w:spacing w:line="420" w:lineRule="exact"/>
        <w:ind w:firstLine="2090" w:firstLineChars="950"/>
        <w:rPr>
          <w:rFonts w:ascii="微软雅黑" w:hAnsi="微软雅黑" w:eastAsia="微软雅黑" w:cs="微软雅黑"/>
          <w:color w:val="000000"/>
          <w:sz w:val="22"/>
          <w:u w:val="single"/>
        </w:rPr>
      </w:pPr>
      <w:r>
        <w:rPr>
          <w:rFonts w:hint="eastAsia" w:ascii="微软雅黑" w:hAnsi="微软雅黑" w:eastAsia="微软雅黑" w:cs="微软雅黑"/>
          <w:color w:val="000000"/>
          <w:sz w:val="22"/>
        </w:rPr>
        <w:t xml:space="preserve">                         委托单位   </w:t>
      </w:r>
      <w:r>
        <w:rPr>
          <w:rFonts w:hint="eastAsia" w:ascii="微软雅黑" w:hAnsi="微软雅黑" w:eastAsia="微软雅黑" w:cs="微软雅黑"/>
          <w:color w:val="000000"/>
          <w:sz w:val="22"/>
          <w:u w:val="single"/>
        </w:rPr>
        <w:t xml:space="preserve"> （公章）                     </w:t>
      </w:r>
    </w:p>
    <w:p w14:paraId="29542943">
      <w:pPr>
        <w:snapToGrid w:val="0"/>
        <w:spacing w:line="420" w:lineRule="exact"/>
        <w:jc w:val="right"/>
        <w:rPr>
          <w:rFonts w:ascii="微软雅黑" w:hAnsi="微软雅黑" w:eastAsia="微软雅黑" w:cs="微软雅黑"/>
          <w:color w:val="000000"/>
          <w:sz w:val="22"/>
        </w:rPr>
      </w:pPr>
      <w:r>
        <w:rPr>
          <w:rFonts w:hint="eastAsia" w:ascii="微软雅黑" w:hAnsi="微软雅黑" w:eastAsia="微软雅黑" w:cs="微软雅黑"/>
          <w:color w:val="000000"/>
          <w:sz w:val="22"/>
        </w:rPr>
        <w:t xml:space="preserve">                               法定代表人 </w:t>
      </w:r>
      <w:r>
        <w:rPr>
          <w:rFonts w:hint="eastAsia" w:ascii="微软雅黑" w:hAnsi="微软雅黑" w:eastAsia="微软雅黑" w:cs="微软雅黑"/>
          <w:color w:val="000000"/>
          <w:sz w:val="22"/>
          <w:u w:val="single"/>
        </w:rPr>
        <w:t xml:space="preserve"> （签字或盖章）   </w:t>
      </w:r>
      <w:r>
        <w:rPr>
          <w:rFonts w:hint="eastAsia" w:ascii="微软雅黑" w:hAnsi="微软雅黑" w:eastAsia="微软雅黑" w:cs="微软雅黑"/>
          <w:color w:val="000000"/>
          <w:sz w:val="22"/>
        </w:rPr>
        <w:t xml:space="preserve">                                   </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年</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月</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日</w:t>
      </w:r>
    </w:p>
    <w:p w14:paraId="3BFC729D">
      <w:p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备注：</w:t>
      </w:r>
    </w:p>
    <w:p w14:paraId="7FA5E9C6">
      <w:pPr>
        <w:numPr>
          <w:ilvl w:val="0"/>
          <w:numId w:val="3"/>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供应商授权代表须在比价截止时间前持授权书原件、授权代表身份证件办理签名报到。</w:t>
      </w:r>
    </w:p>
    <w:p w14:paraId="797BA3B8">
      <w:pPr>
        <w:numPr>
          <w:ilvl w:val="0"/>
          <w:numId w:val="3"/>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供应商法定代表人直接参加比价的，无须提供法人授权委托书，但须持本人身份证件及营业执照复印件办理相关手续。</w:t>
      </w:r>
    </w:p>
    <w:p w14:paraId="7CF327D6"/>
    <w:p w14:paraId="2109D750">
      <w:pPr>
        <w:pStyle w:val="2"/>
      </w:pPr>
    </w:p>
    <w:p w14:paraId="14DC082D">
      <w:pPr>
        <w:pStyle w:val="2"/>
      </w:pPr>
    </w:p>
    <w:p w14:paraId="526B602A">
      <w:pPr>
        <w:pStyle w:val="2"/>
      </w:pPr>
    </w:p>
    <w:p w14:paraId="3769949C">
      <w:pPr>
        <w:pStyle w:val="2"/>
      </w:pPr>
    </w:p>
    <w:p w14:paraId="5C6F5F9B">
      <w:pPr>
        <w:spacing w:line="600" w:lineRule="auto"/>
        <w:jc w:val="center"/>
        <w:rPr>
          <w:rFonts w:ascii="Calibri" w:hAnsi="Calibri" w:cs="Times New Roman"/>
          <w:b/>
          <w:sz w:val="44"/>
          <w:szCs w:val="44"/>
        </w:rPr>
      </w:pPr>
      <w:r>
        <w:rPr>
          <w:rFonts w:hint="eastAsia" w:ascii="Calibri" w:hAnsi="Calibri" w:cs="Times New Roman"/>
          <w:b/>
          <w:sz w:val="44"/>
          <w:szCs w:val="44"/>
        </w:rPr>
        <w:t>江苏大学附属医院</w:t>
      </w:r>
    </w:p>
    <w:p w14:paraId="37B39C05">
      <w:pPr>
        <w:spacing w:line="600" w:lineRule="auto"/>
        <w:jc w:val="center"/>
        <w:rPr>
          <w:rFonts w:ascii="Calibri" w:hAnsi="Calibri" w:cs="Times New Roman"/>
          <w:b/>
          <w:sz w:val="44"/>
          <w:szCs w:val="44"/>
        </w:rPr>
      </w:pPr>
      <w:r>
        <w:rPr>
          <w:rFonts w:hint="eastAsia" w:ascii="Calibri" w:hAnsi="Calibri" w:cs="Times New Roman"/>
          <w:b/>
          <w:sz w:val="44"/>
          <w:szCs w:val="44"/>
        </w:rPr>
        <w:t>信息技术工程服务采购合同</w:t>
      </w:r>
    </w:p>
    <w:p w14:paraId="00753613">
      <w:pPr>
        <w:spacing w:line="360" w:lineRule="auto"/>
        <w:jc w:val="center"/>
        <w:rPr>
          <w:b/>
          <w:bCs/>
          <w:sz w:val="24"/>
          <w:szCs w:val="24"/>
        </w:rPr>
      </w:pPr>
      <w:r>
        <w:rPr>
          <w:rFonts w:hint="eastAsia" w:hAnsi="Times New Roman"/>
          <w:sz w:val="32"/>
        </w:rPr>
        <w:t xml:space="preserve">          </w:t>
      </w:r>
      <w:r>
        <w:rPr>
          <w:rFonts w:hint="eastAsia"/>
          <w:b/>
          <w:sz w:val="24"/>
          <w:szCs w:val="24"/>
        </w:rPr>
        <w:t xml:space="preserve">  合同编号：</w:t>
      </w:r>
      <w:r>
        <w:rPr>
          <w:rFonts w:hint="eastAsia"/>
          <w:b/>
          <w:bCs/>
          <w:sz w:val="24"/>
          <w:szCs w:val="24"/>
          <w:u w:val="single"/>
        </w:rPr>
        <w:t xml:space="preserve"> </w:t>
      </w:r>
      <w:r>
        <w:rPr>
          <w:rFonts w:hint="eastAsia"/>
          <w:b/>
          <w:bCs/>
          <w:sz w:val="24"/>
          <w:szCs w:val="24"/>
          <w:u w:val="single"/>
          <w:lang w:val="en-US" w:eastAsia="zh-CN"/>
        </w:rPr>
        <w:t xml:space="preserve">            </w:t>
      </w:r>
      <w:r>
        <w:rPr>
          <w:rFonts w:hint="eastAsia"/>
          <w:b/>
          <w:bCs/>
          <w:sz w:val="24"/>
          <w:szCs w:val="24"/>
          <w:u w:val="single"/>
        </w:rPr>
        <w:t xml:space="preserve"> </w:t>
      </w:r>
      <w:r>
        <w:rPr>
          <w:rFonts w:hint="eastAsia"/>
          <w:b/>
          <w:bCs/>
          <w:sz w:val="24"/>
          <w:szCs w:val="24"/>
        </w:rPr>
        <w:t xml:space="preserve">                                           </w:t>
      </w:r>
    </w:p>
    <w:p w14:paraId="2BA82A9B">
      <w:pPr>
        <w:spacing w:line="360" w:lineRule="auto"/>
        <w:jc w:val="center"/>
        <w:rPr>
          <w:b/>
          <w:bCs/>
          <w:sz w:val="24"/>
          <w:szCs w:val="24"/>
          <w:u w:val="single"/>
        </w:rPr>
      </w:pPr>
      <w:r>
        <w:rPr>
          <w:rFonts w:hint="eastAsia"/>
          <w:b/>
          <w:bCs/>
          <w:sz w:val="24"/>
          <w:szCs w:val="24"/>
        </w:rPr>
        <w:t xml:space="preserve">                招标编号：</w:t>
      </w:r>
      <w:r>
        <w:rPr>
          <w:rFonts w:hint="eastAsia"/>
          <w:b/>
          <w:bCs/>
          <w:sz w:val="24"/>
          <w:szCs w:val="24"/>
          <w:u w:val="single"/>
        </w:rPr>
        <w:t xml:space="preserve">  </w:t>
      </w:r>
      <w:r>
        <w:rPr>
          <w:rFonts w:hint="eastAsia"/>
          <w:b/>
          <w:bCs/>
          <w:sz w:val="24"/>
          <w:szCs w:val="24"/>
          <w:u w:val="single"/>
          <w:lang w:val="en-US" w:eastAsia="zh-CN"/>
        </w:rPr>
        <w:t xml:space="preserve">     </w:t>
      </w:r>
      <w:r>
        <w:rPr>
          <w:rFonts w:hint="eastAsia"/>
          <w:b/>
          <w:bCs/>
          <w:sz w:val="24"/>
          <w:szCs w:val="24"/>
          <w:u w:val="single"/>
        </w:rPr>
        <w:t xml:space="preserve">       </w:t>
      </w:r>
    </w:p>
    <w:p w14:paraId="6D773C85">
      <w:pPr>
        <w:wordWrap w:val="0"/>
        <w:spacing w:line="360" w:lineRule="auto"/>
        <w:rPr>
          <w:b/>
          <w:bCs/>
          <w:sz w:val="32"/>
          <w:szCs w:val="32"/>
        </w:rPr>
      </w:pPr>
      <w:r>
        <w:rPr>
          <w:rFonts w:hint="eastAsia"/>
          <w:b/>
          <w:bCs/>
          <w:sz w:val="32"/>
          <w:szCs w:val="32"/>
        </w:rPr>
        <w:t xml:space="preserve">甲    方：江苏大学附属医院                     </w:t>
      </w:r>
    </w:p>
    <w:p w14:paraId="1259B936">
      <w:pPr>
        <w:spacing w:line="360" w:lineRule="auto"/>
        <w:rPr>
          <w:b/>
          <w:bCs/>
          <w:sz w:val="32"/>
          <w:szCs w:val="32"/>
          <w:u w:val="single"/>
        </w:rPr>
      </w:pPr>
      <w:r>
        <w:rPr>
          <w:rFonts w:hint="eastAsia"/>
          <w:b/>
          <w:bCs/>
          <w:sz w:val="32"/>
          <w:szCs w:val="32"/>
        </w:rPr>
        <w:t xml:space="preserve">乙    方： </w:t>
      </w:r>
    </w:p>
    <w:p w14:paraId="1723044B">
      <w:pPr>
        <w:spacing w:line="440" w:lineRule="exact"/>
        <w:rPr>
          <w:rFonts w:hint="eastAsia" w:ascii="微软雅黑" w:hAnsi="微软雅黑" w:eastAsia="微软雅黑"/>
          <w:sz w:val="24"/>
        </w:rPr>
      </w:pPr>
      <w:bookmarkStart w:id="6" w:name="_Hlk182592799"/>
      <w:r>
        <w:rPr>
          <w:rFonts w:hint="eastAsia" w:ascii="微软雅黑" w:hAnsi="微软雅黑" w:eastAsia="微软雅黑"/>
          <w:sz w:val="24"/>
        </w:rPr>
        <w:t>住   所  地：</w:t>
      </w:r>
      <w:r>
        <w:rPr>
          <w:rFonts w:hint="eastAsia" w:ascii="微软雅黑" w:hAnsi="微软雅黑" w:eastAsia="微软雅黑"/>
          <w:sz w:val="24"/>
          <w:u w:val="single"/>
        </w:rPr>
        <w:t xml:space="preserve">                      </w:t>
      </w:r>
      <w:r>
        <w:rPr>
          <w:rFonts w:hint="eastAsia" w:ascii="微软雅黑" w:hAnsi="微软雅黑" w:eastAsia="微软雅黑"/>
          <w:sz w:val="24"/>
        </w:rPr>
        <w:t xml:space="preserve">    </w:t>
      </w:r>
    </w:p>
    <w:p w14:paraId="35686326">
      <w:pPr>
        <w:spacing w:line="440" w:lineRule="exact"/>
        <w:rPr>
          <w:rFonts w:hint="eastAsia" w:ascii="微软雅黑" w:hAnsi="微软雅黑" w:eastAsia="微软雅黑"/>
          <w:sz w:val="24"/>
          <w:u w:val="single"/>
        </w:rPr>
      </w:pPr>
      <w:r>
        <w:rPr>
          <w:rFonts w:hint="eastAsia" w:ascii="微软雅黑" w:hAnsi="微软雅黑" w:eastAsia="微软雅黑"/>
          <w:sz w:val="24"/>
        </w:rPr>
        <w:t>联 系 电 话：</w:t>
      </w:r>
      <w:r>
        <w:rPr>
          <w:rFonts w:hint="eastAsia" w:ascii="微软雅黑" w:hAnsi="微软雅黑" w:eastAsia="微软雅黑"/>
          <w:sz w:val="24"/>
          <w:u w:val="single"/>
        </w:rPr>
        <w:t xml:space="preserve">                      </w:t>
      </w:r>
    </w:p>
    <w:p w14:paraId="00B08199">
      <w:pPr>
        <w:spacing w:line="440" w:lineRule="exact"/>
        <w:rPr>
          <w:rFonts w:eastAsia="黑体"/>
          <w:b/>
          <w:bCs/>
          <w:i/>
          <w:iCs/>
          <w:sz w:val="28"/>
          <w:szCs w:val="28"/>
        </w:rPr>
      </w:pPr>
      <w:r>
        <w:rPr>
          <w:rFonts w:hint="eastAsia" w:ascii="微软雅黑" w:hAnsi="微软雅黑" w:eastAsia="微软雅黑"/>
          <w:sz w:val="24"/>
        </w:rPr>
        <w:t>法定 代表人：</w:t>
      </w:r>
      <w:r>
        <w:rPr>
          <w:rFonts w:hint="eastAsia" w:ascii="微软雅黑" w:hAnsi="微软雅黑" w:eastAsia="微软雅黑"/>
          <w:sz w:val="24"/>
          <w:u w:val="single"/>
        </w:rPr>
        <w:t xml:space="preserve">                      </w:t>
      </w:r>
      <w:r>
        <w:rPr>
          <w:rFonts w:hint="eastAsia" w:ascii="微软雅黑" w:hAnsi="微软雅黑" w:eastAsia="微软雅黑"/>
          <w:sz w:val="24"/>
        </w:rPr>
        <w:t xml:space="preserve">   职务：</w:t>
      </w:r>
      <w:r>
        <w:rPr>
          <w:rFonts w:hint="eastAsia" w:ascii="微软雅黑" w:hAnsi="微软雅黑" w:eastAsia="微软雅黑"/>
          <w:sz w:val="24"/>
          <w:u w:val="single"/>
        </w:rPr>
        <w:t xml:space="preserve">             </w:t>
      </w:r>
      <w:r>
        <w:rPr>
          <w:rFonts w:hint="eastAsia" w:ascii="微软雅黑" w:hAnsi="微软雅黑" w:eastAsia="微软雅黑"/>
          <w:sz w:val="24"/>
        </w:rPr>
        <w:t>。</w:t>
      </w:r>
    </w:p>
    <w:bookmarkEnd w:id="6"/>
    <w:p w14:paraId="0E68876D">
      <w:pPr>
        <w:tabs>
          <w:tab w:val="center" w:pos="4153"/>
        </w:tabs>
        <w:spacing w:line="480" w:lineRule="exact"/>
        <w:rPr>
          <w:b/>
          <w:bCs/>
          <w:sz w:val="32"/>
          <w:szCs w:val="32"/>
        </w:rPr>
      </w:pPr>
    </w:p>
    <w:p w14:paraId="5B2026F5">
      <w:pPr>
        <w:pStyle w:val="28"/>
        <w:rPr>
          <w:rFonts w:hint="eastAsia"/>
          <w:color w:val="auto"/>
        </w:rPr>
      </w:pPr>
    </w:p>
    <w:p w14:paraId="7B83597B">
      <w:pPr>
        <w:tabs>
          <w:tab w:val="center" w:pos="4153"/>
        </w:tabs>
        <w:spacing w:line="480" w:lineRule="exact"/>
        <w:ind w:firstLine="423" w:firstLineChars="132"/>
        <w:rPr>
          <w:b/>
          <w:bCs/>
          <w:sz w:val="32"/>
          <w:szCs w:val="32"/>
          <w:u w:val="single"/>
        </w:rPr>
      </w:pPr>
      <w:r>
        <w:rPr>
          <w:rFonts w:hint="eastAsia"/>
          <w:b/>
          <w:bCs/>
          <w:sz w:val="32"/>
          <w:szCs w:val="32"/>
        </w:rPr>
        <w:t>项目名称：</w:t>
      </w:r>
      <w:r>
        <w:rPr>
          <w:rFonts w:hint="eastAsia"/>
          <w:b/>
          <w:bCs/>
          <w:sz w:val="32"/>
          <w:szCs w:val="32"/>
          <w:u w:val="single"/>
        </w:rPr>
        <w:t>医视在线培训平台项目</w:t>
      </w:r>
    </w:p>
    <w:p w14:paraId="790CCF59">
      <w:pPr>
        <w:tabs>
          <w:tab w:val="center" w:pos="4153"/>
        </w:tabs>
        <w:spacing w:line="360" w:lineRule="auto"/>
        <w:rPr>
          <w:rFonts w:hAnsi="Times New Roman"/>
          <w:b/>
          <w:sz w:val="28"/>
        </w:rPr>
      </w:pPr>
      <w:bookmarkStart w:id="13" w:name="_GoBack"/>
      <w:bookmarkEnd w:id="13"/>
    </w:p>
    <w:p w14:paraId="7B7B7959">
      <w:pPr>
        <w:numPr>
          <w:ilvl w:val="0"/>
          <w:numId w:val="4"/>
        </w:numPr>
        <w:tabs>
          <w:tab w:val="center" w:pos="4153"/>
        </w:tabs>
        <w:spacing w:line="360" w:lineRule="auto"/>
        <w:rPr>
          <w:rFonts w:hAnsi="Times New Roman"/>
          <w:b/>
          <w:sz w:val="28"/>
          <w:szCs w:val="28"/>
        </w:rPr>
      </w:pPr>
      <w:r>
        <w:rPr>
          <w:rFonts w:hAnsi="Times New Roman"/>
          <w:b/>
          <w:sz w:val="28"/>
          <w:szCs w:val="28"/>
        </w:rPr>
        <w:t>服务内容、范围与要求</w:t>
      </w:r>
    </w:p>
    <w:p w14:paraId="4AEB3A73">
      <w:pPr>
        <w:pStyle w:val="19"/>
        <w:numPr>
          <w:ilvl w:val="0"/>
          <w:numId w:val="5"/>
        </w:numPr>
        <w:spacing w:line="360" w:lineRule="auto"/>
        <w:ind w:left="0" w:firstLine="420"/>
        <w:rPr>
          <w:rFonts w:ascii="宋体"/>
          <w:szCs w:val="21"/>
        </w:rPr>
      </w:pPr>
      <w:r>
        <w:rPr>
          <w:rFonts w:ascii="宋体"/>
          <w:szCs w:val="21"/>
        </w:rPr>
        <w:t>服务内容：</w:t>
      </w:r>
      <w:r>
        <w:rPr>
          <w:rFonts w:hint="eastAsia" w:ascii="MS Gothic" w:hAnsi="MS Gothic" w:eastAsia="MS Gothic" w:cs="MS Gothic"/>
          <w:szCs w:val="21"/>
        </w:rPr>
        <w:t>​</w:t>
      </w:r>
      <w:r>
        <w:rPr>
          <w:rFonts w:ascii="宋体"/>
          <w:szCs w:val="21"/>
        </w:rPr>
        <w:t xml:space="preserve"> 乙方根据本合同及附件的规定，为甲方提供</w:t>
      </w:r>
      <w:r>
        <w:rPr>
          <w:rFonts w:hint="eastAsia" w:ascii="宋体"/>
          <w:szCs w:val="21"/>
        </w:rPr>
        <w:t>____________________________</w:t>
      </w:r>
      <w:r>
        <w:rPr>
          <w:rFonts w:ascii="宋体"/>
          <w:szCs w:val="21"/>
        </w:rPr>
        <w:t>的技术咨询、设计、施工、安装、调试、测试、培训及售后维保等全套技术服务（以下简称“本项目”）。</w:t>
      </w:r>
    </w:p>
    <w:p w14:paraId="3D2E3601">
      <w:pPr>
        <w:pStyle w:val="19"/>
        <w:numPr>
          <w:ilvl w:val="0"/>
          <w:numId w:val="5"/>
        </w:numPr>
        <w:spacing w:line="360" w:lineRule="auto"/>
        <w:ind w:left="0" w:firstLine="420"/>
        <w:rPr>
          <w:rFonts w:ascii="宋体"/>
          <w:szCs w:val="21"/>
        </w:rPr>
      </w:pPr>
      <w:r>
        <w:rPr>
          <w:rFonts w:ascii="宋体"/>
          <w:szCs w:val="21"/>
        </w:rPr>
        <w:t>服务范围与标准：</w:t>
      </w:r>
      <w:r>
        <w:rPr>
          <w:rFonts w:hint="eastAsia" w:ascii="MS Gothic" w:hAnsi="MS Gothic" w:eastAsia="MS Gothic" w:cs="MS Gothic"/>
          <w:szCs w:val="21"/>
        </w:rPr>
        <w:t>​</w:t>
      </w:r>
      <w:r>
        <w:rPr>
          <w:rFonts w:ascii="宋体"/>
          <w:szCs w:val="21"/>
        </w:rPr>
        <w:t xml:space="preserve"> 本项目的具体工作范围、技术规格、性能指标、交付成果及应遵循的国家、行业标准，详见本合同附件一《技术规范与工作说明书》、附件二《设备与材料清单》及附件三《施工图纸》。乙方承诺其服务符合或优于上述附件中规定的要求。</w:t>
      </w:r>
    </w:p>
    <w:p w14:paraId="30DA913E">
      <w:pPr>
        <w:pStyle w:val="19"/>
        <w:numPr>
          <w:ilvl w:val="0"/>
          <w:numId w:val="5"/>
        </w:numPr>
        <w:spacing w:line="360" w:lineRule="auto"/>
        <w:ind w:left="0" w:firstLine="420"/>
        <w:rPr>
          <w:rFonts w:ascii="宋体"/>
          <w:szCs w:val="21"/>
        </w:rPr>
      </w:pPr>
      <w:r>
        <w:rPr>
          <w:rFonts w:ascii="宋体"/>
          <w:szCs w:val="21"/>
        </w:rPr>
        <w:t>服务成果：</w:t>
      </w:r>
      <w:r>
        <w:rPr>
          <w:rFonts w:hint="eastAsia" w:ascii="MS Gothic" w:hAnsi="MS Gothic" w:eastAsia="MS Gothic" w:cs="MS Gothic"/>
          <w:szCs w:val="21"/>
        </w:rPr>
        <w:t>​</w:t>
      </w:r>
      <w:r>
        <w:rPr>
          <w:rFonts w:ascii="宋体"/>
          <w:szCs w:val="21"/>
        </w:rPr>
        <w:t xml:space="preserve"> 乙方履行本合同所形成的一切工作成果，包括但不限于设计方案、施工图纸、配置文档、测试报告、培训材料等文件及最终交付的实体系统，其知识产权归属按本合同第七条规定执行。</w:t>
      </w:r>
    </w:p>
    <w:p w14:paraId="4C02B8EF">
      <w:pPr>
        <w:numPr>
          <w:ilvl w:val="0"/>
          <w:numId w:val="4"/>
        </w:numPr>
        <w:tabs>
          <w:tab w:val="center" w:pos="4153"/>
        </w:tabs>
        <w:spacing w:line="360" w:lineRule="auto"/>
        <w:rPr>
          <w:rFonts w:hAnsi="Times New Roman"/>
          <w:b/>
          <w:sz w:val="28"/>
          <w:szCs w:val="28"/>
        </w:rPr>
      </w:pPr>
      <w:r>
        <w:rPr>
          <w:rFonts w:hAnsi="Times New Roman"/>
          <w:b/>
          <w:sz w:val="28"/>
          <w:szCs w:val="28"/>
        </w:rPr>
        <w:t>合同价款及支付方式</w:t>
      </w:r>
    </w:p>
    <w:p w14:paraId="1F7D989F">
      <w:pPr>
        <w:pStyle w:val="19"/>
        <w:numPr>
          <w:ilvl w:val="0"/>
          <w:numId w:val="6"/>
        </w:numPr>
        <w:spacing w:line="360" w:lineRule="auto"/>
        <w:ind w:firstLineChars="0"/>
        <w:rPr>
          <w:rFonts w:ascii="宋体"/>
          <w:szCs w:val="21"/>
        </w:rPr>
      </w:pPr>
      <w:r>
        <w:rPr>
          <w:rFonts w:ascii="宋体"/>
          <w:szCs w:val="21"/>
        </w:rPr>
        <w:t>合同总价款：</w:t>
      </w:r>
      <w:r>
        <w:rPr>
          <w:rFonts w:hint="eastAsia" w:ascii="MS Gothic" w:hAnsi="MS Gothic" w:eastAsia="MS Gothic" w:cs="MS Gothic"/>
          <w:szCs w:val="21"/>
        </w:rPr>
        <w:t>​</w:t>
      </w:r>
      <w:r>
        <w:rPr>
          <w:rFonts w:ascii="宋体"/>
          <w:szCs w:val="21"/>
        </w:rPr>
        <w:t xml:space="preserve"> 本合同总价款为人民币（大写）</w:t>
      </w:r>
      <w:r>
        <w:rPr>
          <w:rFonts w:hint="eastAsia" w:ascii="宋体"/>
          <w:szCs w:val="21"/>
        </w:rPr>
        <w:t>_____________</w:t>
      </w:r>
      <w:r>
        <w:rPr>
          <w:rFonts w:ascii="宋体"/>
          <w:szCs w:val="21"/>
        </w:rPr>
        <w:t>元整（小写</w:t>
      </w:r>
      <w:r>
        <w:rPr>
          <w:rFonts w:ascii="宋体"/>
          <w:szCs w:val="21"/>
          <w:u w:val="single"/>
        </w:rPr>
        <w:t>：</w:t>
      </w:r>
      <w:r>
        <w:rPr>
          <w:rFonts w:hint="eastAsia" w:ascii="宋体"/>
          <w:szCs w:val="21"/>
          <w:u w:val="single"/>
        </w:rPr>
        <w:t xml:space="preserve">        </w:t>
      </w:r>
      <w:r>
        <w:rPr>
          <w:rFonts w:ascii="宋体"/>
          <w:szCs w:val="21"/>
        </w:rPr>
        <w:t>元）。此价款为包干总价，已包含乙方为完成本合同约定全部工作所需的人工、设备、材料、运输、安装、调试、测试、培训、税金、保险费、维保及乙方应获得的所有利润等一切费用。</w:t>
      </w:r>
    </w:p>
    <w:p w14:paraId="3054BF8A">
      <w:pPr>
        <w:pStyle w:val="19"/>
        <w:numPr>
          <w:ilvl w:val="0"/>
          <w:numId w:val="6"/>
        </w:numPr>
        <w:spacing w:line="360" w:lineRule="auto"/>
        <w:ind w:firstLineChars="0"/>
        <w:rPr>
          <w:rFonts w:ascii="宋体"/>
          <w:szCs w:val="21"/>
          <w:u w:val="single"/>
        </w:rPr>
      </w:pPr>
      <w:r>
        <w:rPr>
          <w:rFonts w:ascii="宋体"/>
          <w:szCs w:val="21"/>
        </w:rPr>
        <w:t>支付方式：</w:t>
      </w:r>
      <w:r>
        <w:rPr>
          <w:rFonts w:hint="eastAsia" w:ascii="MS Gothic" w:hAnsi="MS Gothic" w:eastAsia="MS Gothic" w:cs="MS Gothic"/>
          <w:szCs w:val="21"/>
        </w:rPr>
        <w:t>​</w:t>
      </w:r>
      <w:r>
        <w:rPr>
          <w:rFonts w:ascii="宋体"/>
          <w:szCs w:val="21"/>
        </w:rPr>
        <w:t xml:space="preserve"> 甲方按以下阶段及比例向乙方支付合同款项：</w:t>
      </w:r>
      <w:r>
        <w:rPr>
          <w:rFonts w:hint="eastAsia" w:ascii="宋体"/>
          <w:szCs w:val="21"/>
        </w:rPr>
        <w:t>项目竣工验收合格后</w:t>
      </w:r>
      <w:r>
        <w:rPr>
          <w:rFonts w:hint="eastAsia" w:ascii="宋体"/>
          <w:szCs w:val="21"/>
          <w:u w:val="single"/>
        </w:rPr>
        <w:t xml:space="preserve"> 3 </w:t>
      </w:r>
      <w:r>
        <w:rPr>
          <w:rFonts w:hint="eastAsia" w:ascii="宋体"/>
          <w:szCs w:val="21"/>
        </w:rPr>
        <w:t>个月内</w:t>
      </w:r>
      <w:r>
        <w:rPr>
          <w:rFonts w:ascii="宋体"/>
          <w:szCs w:val="21"/>
        </w:rPr>
        <w:t>,</w:t>
      </w:r>
      <w:r>
        <w:rPr>
          <w:rFonts w:hint="eastAsia" w:ascii="宋体"/>
          <w:szCs w:val="21"/>
        </w:rPr>
        <w:t>甲方向乙方支付合同总金额的</w:t>
      </w:r>
      <w:r>
        <w:rPr>
          <w:rFonts w:hint="eastAsia" w:ascii="宋体"/>
          <w:szCs w:val="21"/>
          <w:u w:val="single"/>
        </w:rPr>
        <w:t xml:space="preserve"> 80% </w:t>
      </w:r>
      <w:r>
        <w:rPr>
          <w:rFonts w:hint="eastAsia" w:ascii="宋体"/>
          <w:szCs w:val="21"/>
        </w:rPr>
        <w:t>项目维护期满后</w:t>
      </w:r>
      <w:r>
        <w:rPr>
          <w:rFonts w:ascii="宋体"/>
          <w:szCs w:val="21"/>
          <w:u w:val="single"/>
        </w:rPr>
        <w:t xml:space="preserve"> </w:t>
      </w:r>
      <w:r>
        <w:rPr>
          <w:rFonts w:hint="eastAsia" w:ascii="宋体"/>
          <w:szCs w:val="21"/>
          <w:u w:val="single"/>
        </w:rPr>
        <w:t xml:space="preserve">3 </w:t>
      </w:r>
      <w:r>
        <w:rPr>
          <w:rFonts w:hint="eastAsia" w:ascii="宋体"/>
          <w:szCs w:val="21"/>
        </w:rPr>
        <w:t>个月内，乙方向甲方递交付款申请,甲方向乙方支付合同总金额的</w:t>
      </w:r>
      <w:r>
        <w:rPr>
          <w:rFonts w:ascii="宋体"/>
          <w:szCs w:val="21"/>
          <w:u w:val="single"/>
        </w:rPr>
        <w:t xml:space="preserve"> </w:t>
      </w:r>
      <w:r>
        <w:rPr>
          <w:rFonts w:hint="eastAsia" w:ascii="宋体"/>
          <w:szCs w:val="21"/>
          <w:u w:val="single"/>
        </w:rPr>
        <w:t xml:space="preserve"> 20%</w:t>
      </w:r>
    </w:p>
    <w:p w14:paraId="3E44D851">
      <w:pPr>
        <w:numPr>
          <w:ilvl w:val="0"/>
          <w:numId w:val="4"/>
        </w:numPr>
        <w:tabs>
          <w:tab w:val="center" w:pos="4153"/>
        </w:tabs>
        <w:spacing w:line="360" w:lineRule="auto"/>
        <w:rPr>
          <w:rFonts w:hAnsi="Times New Roman"/>
          <w:b/>
          <w:sz w:val="28"/>
          <w:szCs w:val="28"/>
        </w:rPr>
      </w:pPr>
      <w:r>
        <w:rPr>
          <w:rFonts w:hAnsi="Times New Roman"/>
          <w:b/>
          <w:sz w:val="28"/>
          <w:szCs w:val="28"/>
        </w:rPr>
        <w:t>项目交付与验收</w:t>
      </w:r>
    </w:p>
    <w:p w14:paraId="722B6454">
      <w:pPr>
        <w:pStyle w:val="19"/>
        <w:numPr>
          <w:ilvl w:val="0"/>
          <w:numId w:val="7"/>
        </w:numPr>
        <w:spacing w:line="360" w:lineRule="auto"/>
        <w:ind w:firstLineChars="0"/>
        <w:rPr>
          <w:rFonts w:ascii="宋体"/>
          <w:szCs w:val="21"/>
        </w:rPr>
      </w:pPr>
      <w:r>
        <w:rPr>
          <w:rFonts w:ascii="宋体"/>
          <w:szCs w:val="21"/>
        </w:rPr>
        <w:t>工期：</w:t>
      </w:r>
      <w:r>
        <w:rPr>
          <w:rFonts w:hint="eastAsia" w:ascii="MS Gothic" w:hAnsi="MS Gothic" w:eastAsia="MS Gothic" w:cs="MS Gothic"/>
          <w:szCs w:val="21"/>
        </w:rPr>
        <w:t>​</w:t>
      </w:r>
      <w:r>
        <w:rPr>
          <w:rFonts w:ascii="宋体"/>
          <w:szCs w:val="21"/>
        </w:rPr>
        <w:t xml:space="preserve"> 本项目工期共计</w:t>
      </w:r>
      <w:r>
        <w:rPr>
          <w:rFonts w:hint="eastAsia" w:ascii="宋体"/>
          <w:szCs w:val="21"/>
        </w:rPr>
        <w:t>________</w:t>
      </w:r>
      <w:r>
        <w:rPr>
          <w:rFonts w:ascii="宋体"/>
          <w:szCs w:val="21"/>
        </w:rPr>
        <w:t>个日历日，自</w:t>
      </w:r>
      <w:r>
        <w:rPr>
          <w:rFonts w:hint="eastAsia" w:ascii="宋体"/>
          <w:szCs w:val="21"/>
        </w:rPr>
        <w:t>签订合同</w:t>
      </w:r>
      <w:r>
        <w:rPr>
          <w:rFonts w:ascii="宋体"/>
          <w:szCs w:val="21"/>
        </w:rPr>
        <w:t>之日起算。因甲方原因或不可抗力导致的工期延误应相应顺延。</w:t>
      </w:r>
    </w:p>
    <w:p w14:paraId="05B4E09B">
      <w:pPr>
        <w:pStyle w:val="19"/>
        <w:numPr>
          <w:ilvl w:val="0"/>
          <w:numId w:val="7"/>
        </w:numPr>
        <w:spacing w:line="360" w:lineRule="auto"/>
        <w:ind w:left="0" w:firstLine="420"/>
        <w:rPr>
          <w:rFonts w:ascii="宋体"/>
          <w:szCs w:val="21"/>
        </w:rPr>
      </w:pPr>
      <w:r>
        <w:rPr>
          <w:rFonts w:ascii="宋体"/>
          <w:szCs w:val="21"/>
        </w:rPr>
        <w:t>交付与阶段性验收：</w:t>
      </w:r>
    </w:p>
    <w:p w14:paraId="071957FA">
      <w:pPr>
        <w:pStyle w:val="19"/>
        <w:numPr>
          <w:ilvl w:val="0"/>
          <w:numId w:val="7"/>
        </w:numPr>
        <w:spacing w:line="360" w:lineRule="auto"/>
        <w:ind w:left="0" w:firstLine="420"/>
        <w:rPr>
          <w:rFonts w:ascii="宋体"/>
          <w:szCs w:val="21"/>
        </w:rPr>
      </w:pPr>
      <w:r>
        <w:rPr>
          <w:rFonts w:ascii="宋体"/>
          <w:szCs w:val="21"/>
        </w:rPr>
        <w:t>到货验收：</w:t>
      </w:r>
      <w:r>
        <w:rPr>
          <w:rFonts w:hint="eastAsia" w:ascii="MS Gothic" w:hAnsi="MS Gothic" w:eastAsia="MS Gothic" w:cs="MS Gothic"/>
          <w:szCs w:val="21"/>
        </w:rPr>
        <w:t>​</w:t>
      </w:r>
      <w:r>
        <w:rPr>
          <w:rFonts w:ascii="宋体"/>
          <w:szCs w:val="21"/>
        </w:rPr>
        <w:t xml:space="preserve"> 设备材料进场后，甲方有权进行数量和外观验收。</w:t>
      </w:r>
    </w:p>
    <w:p w14:paraId="7250D81A">
      <w:pPr>
        <w:pStyle w:val="19"/>
        <w:numPr>
          <w:ilvl w:val="0"/>
          <w:numId w:val="7"/>
        </w:numPr>
        <w:spacing w:line="360" w:lineRule="auto"/>
        <w:ind w:left="0" w:firstLine="420"/>
        <w:rPr>
          <w:rFonts w:ascii="宋体"/>
          <w:szCs w:val="21"/>
        </w:rPr>
      </w:pPr>
      <w:r>
        <w:rPr>
          <w:rFonts w:ascii="宋体"/>
          <w:szCs w:val="21"/>
        </w:rPr>
        <w:t>隐蔽工程：</w:t>
      </w:r>
      <w:r>
        <w:rPr>
          <w:rFonts w:hint="eastAsia" w:ascii="MS Gothic" w:hAnsi="MS Gothic" w:eastAsia="MS Gothic" w:cs="MS Gothic"/>
          <w:szCs w:val="21"/>
        </w:rPr>
        <w:t>​</w:t>
      </w:r>
      <w:r>
        <w:rPr>
          <w:rFonts w:ascii="宋体"/>
          <w:szCs w:val="21"/>
        </w:rPr>
        <w:t xml:space="preserve"> 对于布线、管道等隐蔽工程，乙方在覆盖前应提前24小时书面通知甲方进行中间验收，验收合格后方可进入下一工序。</w:t>
      </w:r>
    </w:p>
    <w:p w14:paraId="227F45D3">
      <w:pPr>
        <w:pStyle w:val="19"/>
        <w:numPr>
          <w:ilvl w:val="0"/>
          <w:numId w:val="7"/>
        </w:numPr>
        <w:spacing w:line="360" w:lineRule="auto"/>
        <w:ind w:left="0" w:firstLine="420"/>
        <w:rPr>
          <w:rFonts w:ascii="宋体"/>
          <w:szCs w:val="21"/>
        </w:rPr>
      </w:pPr>
      <w:r>
        <w:rPr>
          <w:rFonts w:ascii="宋体"/>
          <w:szCs w:val="21"/>
        </w:rPr>
        <w:t>最终验收：进入30个日历日的试运行期。试运行结束且系统稳定后，乙方提交验收申请。甲方应在收到申请后15个工作日内组织验收，并签署《项目验收报告》。</w:t>
      </w:r>
    </w:p>
    <w:p w14:paraId="07A6642E">
      <w:pPr>
        <w:pStyle w:val="19"/>
        <w:numPr>
          <w:ilvl w:val="0"/>
          <w:numId w:val="7"/>
        </w:numPr>
        <w:spacing w:line="360" w:lineRule="auto"/>
        <w:ind w:left="0" w:firstLine="420"/>
        <w:rPr>
          <w:rFonts w:ascii="宋体"/>
          <w:szCs w:val="21"/>
        </w:rPr>
      </w:pPr>
      <w:r>
        <w:rPr>
          <w:rFonts w:ascii="宋体"/>
          <w:szCs w:val="21"/>
        </w:rPr>
        <w:t>若验收不合格，乙方应在甲方要求的期限内免费整改至合格，由此产生的费用由乙方承担，工期不予顺延。若乙方未能按期完成整改，视为交付违约。</w:t>
      </w:r>
    </w:p>
    <w:p w14:paraId="155DF8DA">
      <w:pPr>
        <w:numPr>
          <w:ilvl w:val="0"/>
          <w:numId w:val="4"/>
        </w:numPr>
        <w:tabs>
          <w:tab w:val="center" w:pos="4153"/>
        </w:tabs>
        <w:spacing w:line="360" w:lineRule="auto"/>
        <w:rPr>
          <w:rFonts w:hAnsi="Times New Roman"/>
          <w:b/>
          <w:sz w:val="28"/>
          <w:szCs w:val="28"/>
        </w:rPr>
      </w:pPr>
      <w:r>
        <w:rPr>
          <w:rFonts w:hAnsi="Times New Roman"/>
          <w:b/>
          <w:sz w:val="28"/>
          <w:szCs w:val="28"/>
        </w:rPr>
        <w:t>质量保证与售后服务</w:t>
      </w:r>
    </w:p>
    <w:p w14:paraId="51208941">
      <w:pPr>
        <w:pStyle w:val="19"/>
        <w:numPr>
          <w:ilvl w:val="0"/>
          <w:numId w:val="8"/>
        </w:numPr>
        <w:spacing w:line="360" w:lineRule="auto"/>
        <w:ind w:firstLineChars="0"/>
        <w:rPr>
          <w:rFonts w:ascii="宋体"/>
          <w:szCs w:val="21"/>
        </w:rPr>
      </w:pPr>
      <w:r>
        <w:rPr>
          <w:rFonts w:ascii="宋体"/>
          <w:szCs w:val="21"/>
        </w:rPr>
        <w:t>免费维保期：</w:t>
      </w:r>
      <w:r>
        <w:rPr>
          <w:rFonts w:hint="eastAsia" w:ascii="MS Gothic" w:hAnsi="MS Gothic" w:eastAsia="MS Gothic" w:cs="MS Gothic"/>
          <w:szCs w:val="21"/>
        </w:rPr>
        <w:t>​</w:t>
      </w:r>
      <w:r>
        <w:rPr>
          <w:rFonts w:ascii="宋体"/>
          <w:szCs w:val="21"/>
        </w:rPr>
        <w:t xml:space="preserve"> 本项目免费质量保证期为自最终验收合格之日起</w:t>
      </w:r>
      <w:r>
        <w:rPr>
          <w:rFonts w:hint="eastAsia" w:ascii="宋体"/>
          <w:szCs w:val="21"/>
        </w:rPr>
        <w:t>_______</w:t>
      </w:r>
      <w:r>
        <w:rPr>
          <w:rFonts w:ascii="宋体"/>
          <w:szCs w:val="21"/>
        </w:rPr>
        <w:t>个月。在此期间，乙方提供7×24小时技术支持，对于系统故障，乙方需在接到通知后</w:t>
      </w:r>
      <w:r>
        <w:rPr>
          <w:rFonts w:hint="eastAsia" w:ascii="宋体"/>
          <w:szCs w:val="21"/>
        </w:rPr>
        <w:t>________</w:t>
      </w:r>
      <w:r>
        <w:rPr>
          <w:rFonts w:ascii="宋体"/>
          <w:szCs w:val="21"/>
        </w:rPr>
        <w:t>小时内响应，如需现场服务，应在</w:t>
      </w:r>
      <w:r>
        <w:rPr>
          <w:rFonts w:hint="eastAsia" w:ascii="宋体"/>
          <w:szCs w:val="21"/>
        </w:rPr>
        <w:t>________</w:t>
      </w:r>
      <w:r>
        <w:rPr>
          <w:rFonts w:ascii="宋体"/>
          <w:szCs w:val="21"/>
        </w:rPr>
        <w:t>小时内派工程师到达现场处理。</w:t>
      </w:r>
      <w:r>
        <w:rPr>
          <w:rFonts w:hint="eastAsia" w:ascii="宋体"/>
          <w:szCs w:val="21"/>
        </w:rPr>
        <w:t>免费维保期_________年</w:t>
      </w:r>
    </w:p>
    <w:p w14:paraId="683E5615">
      <w:pPr>
        <w:pStyle w:val="19"/>
        <w:numPr>
          <w:ilvl w:val="0"/>
          <w:numId w:val="8"/>
        </w:numPr>
        <w:spacing w:line="360" w:lineRule="auto"/>
        <w:ind w:left="0" w:firstLine="420"/>
        <w:rPr>
          <w:rFonts w:ascii="宋体"/>
          <w:szCs w:val="21"/>
        </w:rPr>
      </w:pPr>
      <w:r>
        <w:rPr>
          <w:rFonts w:ascii="宋体"/>
          <w:szCs w:val="21"/>
        </w:rPr>
        <w:t>维保范围：</w:t>
      </w:r>
      <w:r>
        <w:rPr>
          <w:rFonts w:hint="eastAsia" w:ascii="MS Gothic" w:hAnsi="MS Gothic" w:eastAsia="MS Gothic" w:cs="MS Gothic"/>
          <w:szCs w:val="21"/>
        </w:rPr>
        <w:t>​</w:t>
      </w:r>
      <w:r>
        <w:rPr>
          <w:rFonts w:ascii="宋体"/>
          <w:szCs w:val="21"/>
        </w:rPr>
        <w:t xml:space="preserve"> 免费维保包括因设备材料质量、设计或施工工艺缺陷引发的故障修复。因甲方人员误操作、不可抗力或未经乙方认可的第三方改动造成的损坏，维修费用由甲方承担。</w:t>
      </w:r>
    </w:p>
    <w:p w14:paraId="3A794ACE">
      <w:pPr>
        <w:pStyle w:val="19"/>
        <w:numPr>
          <w:ilvl w:val="0"/>
          <w:numId w:val="8"/>
        </w:numPr>
        <w:spacing w:line="360" w:lineRule="auto"/>
        <w:ind w:left="0" w:firstLine="420"/>
        <w:rPr>
          <w:rFonts w:ascii="宋体"/>
          <w:szCs w:val="21"/>
        </w:rPr>
      </w:pPr>
      <w:r>
        <w:rPr>
          <w:rFonts w:ascii="宋体"/>
          <w:szCs w:val="21"/>
        </w:rPr>
        <w:t>终身服务：</w:t>
      </w:r>
      <w:r>
        <w:rPr>
          <w:rFonts w:hint="eastAsia" w:ascii="MS Gothic" w:hAnsi="MS Gothic" w:eastAsia="MS Gothic" w:cs="MS Gothic"/>
          <w:szCs w:val="21"/>
        </w:rPr>
        <w:t>​</w:t>
      </w:r>
      <w:r>
        <w:rPr>
          <w:rFonts w:ascii="宋体"/>
          <w:szCs w:val="21"/>
        </w:rPr>
        <w:t xml:space="preserve"> 免费维保期后，乙方承诺以优惠价格向甲方提供有偿维保服务。</w:t>
      </w:r>
    </w:p>
    <w:p w14:paraId="5A379F3F">
      <w:pPr>
        <w:numPr>
          <w:ilvl w:val="0"/>
          <w:numId w:val="4"/>
        </w:numPr>
        <w:tabs>
          <w:tab w:val="center" w:pos="4153"/>
        </w:tabs>
        <w:spacing w:line="360" w:lineRule="auto"/>
        <w:rPr>
          <w:rFonts w:hAnsi="Times New Roman"/>
          <w:b/>
          <w:sz w:val="28"/>
          <w:szCs w:val="28"/>
        </w:rPr>
      </w:pPr>
      <w:r>
        <w:rPr>
          <w:rFonts w:hint="eastAsia" w:hAnsi="Times New Roman"/>
          <w:b/>
          <w:sz w:val="28"/>
          <w:szCs w:val="28"/>
        </w:rPr>
        <w:t>双方的权利和义务</w:t>
      </w:r>
    </w:p>
    <w:p w14:paraId="22E508A2">
      <w:pPr>
        <w:tabs>
          <w:tab w:val="center" w:pos="4153"/>
        </w:tabs>
        <w:spacing w:line="360" w:lineRule="auto"/>
        <w:ind w:firstLine="420" w:firstLineChars="200"/>
        <w:rPr>
          <w:rFonts w:hAnsi="Times New Roman"/>
          <w:b/>
          <w:bCs/>
        </w:rPr>
      </w:pPr>
      <w:r>
        <w:rPr>
          <w:rFonts w:hAnsi="Times New Roman"/>
          <w:b/>
          <w:bCs/>
        </w:rPr>
        <w:t>1</w:t>
      </w:r>
      <w:r>
        <w:rPr>
          <w:rFonts w:hint="eastAsia" w:hAnsi="Times New Roman"/>
          <w:b/>
          <w:bCs/>
        </w:rPr>
        <w:t>.甲方权利义务</w:t>
      </w:r>
    </w:p>
    <w:p w14:paraId="4788F309">
      <w:pPr>
        <w:tabs>
          <w:tab w:val="center" w:pos="4153"/>
        </w:tabs>
        <w:spacing w:line="360" w:lineRule="auto"/>
        <w:ind w:firstLine="420" w:firstLineChars="200"/>
        <w:rPr>
          <w:rFonts w:hAnsi="Times New Roman"/>
        </w:rPr>
      </w:pPr>
      <w:r>
        <w:rPr>
          <w:rFonts w:hint="eastAsia" w:hAnsi="Times New Roman"/>
        </w:rPr>
        <w:t>（</w:t>
      </w:r>
      <w:r>
        <w:rPr>
          <w:rFonts w:hAnsi="Times New Roman"/>
        </w:rPr>
        <w:t>1</w:t>
      </w:r>
      <w:r>
        <w:rPr>
          <w:rFonts w:hint="eastAsia" w:hAnsi="Times New Roman"/>
        </w:rPr>
        <w:t>）甲方应负责提供标的(物)或项目实施的前期准备工作，实施过程中的组织、协调、配合工作。</w:t>
      </w:r>
      <w:r>
        <w:rPr>
          <w:rFonts w:hAnsi="Times New Roman"/>
        </w:rPr>
        <w:t xml:space="preserve"> </w:t>
      </w:r>
    </w:p>
    <w:p w14:paraId="6BE08558">
      <w:pPr>
        <w:tabs>
          <w:tab w:val="center" w:pos="4153"/>
        </w:tabs>
        <w:spacing w:line="360" w:lineRule="auto"/>
        <w:ind w:firstLine="420" w:firstLineChars="200"/>
        <w:rPr>
          <w:rFonts w:hAnsi="Times New Roman"/>
        </w:rPr>
      </w:pPr>
      <w:r>
        <w:rPr>
          <w:rFonts w:hint="eastAsia" w:hAnsi="Times New Roman"/>
        </w:rPr>
        <w:t>（</w:t>
      </w:r>
      <w:r>
        <w:rPr>
          <w:rFonts w:hAnsi="Times New Roman"/>
        </w:rPr>
        <w:t>2</w:t>
      </w:r>
      <w:r>
        <w:rPr>
          <w:rFonts w:hint="eastAsia" w:hAnsi="Times New Roman"/>
        </w:rPr>
        <w:t>）甲方应提供乙方标的(物)所需的场地环境，确保满足乙方项目施工环境的需求，并为乙方提供便利的工作条件。</w:t>
      </w:r>
    </w:p>
    <w:p w14:paraId="1F688272">
      <w:pPr>
        <w:tabs>
          <w:tab w:val="center" w:pos="4153"/>
        </w:tabs>
        <w:spacing w:line="360" w:lineRule="auto"/>
        <w:ind w:firstLine="420" w:firstLineChars="200"/>
        <w:rPr>
          <w:rFonts w:hAnsi="Times New Roman"/>
        </w:rPr>
      </w:pPr>
      <w:r>
        <w:rPr>
          <w:rFonts w:hint="eastAsia" w:hAnsi="Times New Roman"/>
        </w:rPr>
        <w:t>（</w:t>
      </w:r>
      <w:r>
        <w:rPr>
          <w:rFonts w:hAnsi="Times New Roman"/>
        </w:rPr>
        <w:t>3</w:t>
      </w:r>
      <w:r>
        <w:rPr>
          <w:rFonts w:hint="eastAsia" w:hAnsi="Times New Roman"/>
        </w:rPr>
        <w:t>）在标的(物)安装调试时如牵涉到第三方的配合，甲方负责协调第三方的配合工作，以确保标的(物)的顺利安装和正常使用。</w:t>
      </w:r>
    </w:p>
    <w:p w14:paraId="07612476">
      <w:pPr>
        <w:tabs>
          <w:tab w:val="center" w:pos="4153"/>
        </w:tabs>
        <w:spacing w:line="360" w:lineRule="auto"/>
        <w:ind w:firstLine="420" w:firstLineChars="200"/>
        <w:rPr>
          <w:rFonts w:hAnsi="Times New Roman"/>
          <w:bCs/>
          <w:sz w:val="28"/>
          <w:szCs w:val="28"/>
        </w:rPr>
      </w:pPr>
      <w:r>
        <w:rPr>
          <w:rFonts w:hint="eastAsia" w:hAnsi="Times New Roman"/>
        </w:rPr>
        <w:t>（</w:t>
      </w:r>
      <w:r>
        <w:rPr>
          <w:rFonts w:hAnsi="Times New Roman"/>
        </w:rPr>
        <w:t>4</w:t>
      </w:r>
      <w:r>
        <w:rPr>
          <w:rFonts w:hint="eastAsia" w:hAnsi="Times New Roman"/>
        </w:rPr>
        <w:t>）甲方有权监督乙方工作进度和质量，对乙方现场工作人员进行管理。</w:t>
      </w:r>
    </w:p>
    <w:p w14:paraId="34C07C90">
      <w:pPr>
        <w:tabs>
          <w:tab w:val="center" w:pos="4153"/>
        </w:tabs>
        <w:spacing w:line="360" w:lineRule="auto"/>
        <w:ind w:firstLine="420" w:firstLineChars="200"/>
        <w:rPr>
          <w:rFonts w:hAnsi="Times New Roman"/>
          <w:bCs/>
          <w:sz w:val="28"/>
          <w:szCs w:val="28"/>
        </w:rPr>
      </w:pPr>
      <w:r>
        <w:rPr>
          <w:rFonts w:hint="eastAsia" w:hAnsi="Times New Roman"/>
        </w:rPr>
        <w:t>（</w:t>
      </w:r>
      <w:r>
        <w:rPr>
          <w:rFonts w:hAnsi="Times New Roman"/>
        </w:rPr>
        <w:t>5</w:t>
      </w:r>
      <w:r>
        <w:rPr>
          <w:rFonts w:hint="eastAsia" w:hAnsi="Times New Roman"/>
        </w:rPr>
        <w:t>）甲方应负责标的(物)或项目的验收。</w:t>
      </w:r>
    </w:p>
    <w:p w14:paraId="577774E8">
      <w:pPr>
        <w:tabs>
          <w:tab w:val="center" w:pos="4153"/>
        </w:tabs>
        <w:spacing w:line="360" w:lineRule="auto"/>
        <w:ind w:firstLine="420" w:firstLineChars="200"/>
        <w:rPr>
          <w:rFonts w:hAnsi="Times New Roman"/>
          <w:b/>
          <w:bCs/>
        </w:rPr>
      </w:pPr>
      <w:r>
        <w:rPr>
          <w:rFonts w:hAnsi="Times New Roman"/>
          <w:b/>
          <w:bCs/>
        </w:rPr>
        <w:t>2</w:t>
      </w:r>
      <w:r>
        <w:rPr>
          <w:rFonts w:hint="eastAsia" w:hAnsi="Times New Roman"/>
          <w:b/>
          <w:bCs/>
        </w:rPr>
        <w:t>.乙方权利义务</w:t>
      </w:r>
    </w:p>
    <w:p w14:paraId="1CCCC4E5">
      <w:pPr>
        <w:tabs>
          <w:tab w:val="center" w:pos="4153"/>
        </w:tabs>
        <w:spacing w:line="360" w:lineRule="auto"/>
        <w:ind w:firstLine="420" w:firstLineChars="200"/>
        <w:rPr>
          <w:rFonts w:hAnsi="Times New Roman"/>
        </w:rPr>
      </w:pPr>
      <w:r>
        <w:rPr>
          <w:rFonts w:hint="eastAsia" w:hAnsi="Times New Roman"/>
        </w:rPr>
        <w:t>（</w:t>
      </w:r>
      <w:r>
        <w:rPr>
          <w:rFonts w:hAnsi="Times New Roman"/>
        </w:rPr>
        <w:t>1</w:t>
      </w:r>
      <w:r>
        <w:rPr>
          <w:rFonts w:hint="eastAsia" w:hAnsi="Times New Roman"/>
        </w:rPr>
        <w:t>）乙方应负责提供项目内的安装及调试，制定实施方案，在合理期限内提前通知甲方做好下一步准备工作。</w:t>
      </w:r>
    </w:p>
    <w:p w14:paraId="76AA4C25">
      <w:pPr>
        <w:tabs>
          <w:tab w:val="center" w:pos="4153"/>
        </w:tabs>
        <w:spacing w:line="360" w:lineRule="auto"/>
        <w:ind w:firstLine="420" w:firstLineChars="200"/>
        <w:rPr>
          <w:rFonts w:hAnsi="Times New Roman"/>
        </w:rPr>
      </w:pPr>
      <w:r>
        <w:rPr>
          <w:rFonts w:hint="eastAsia" w:hAnsi="Times New Roman"/>
        </w:rPr>
        <w:t>（</w:t>
      </w:r>
      <w:r>
        <w:rPr>
          <w:rFonts w:hAnsi="Times New Roman"/>
        </w:rPr>
        <w:t>2</w:t>
      </w:r>
      <w:r>
        <w:rPr>
          <w:rFonts w:hint="eastAsia" w:hAnsi="Times New Roman"/>
        </w:rPr>
        <w:t>）乙方应提前通知甲方标的(物)运行所需的现场环境。</w:t>
      </w:r>
    </w:p>
    <w:p w14:paraId="7E38282A">
      <w:pPr>
        <w:tabs>
          <w:tab w:val="center" w:pos="4153"/>
        </w:tabs>
        <w:spacing w:line="360" w:lineRule="auto"/>
        <w:ind w:firstLine="420" w:firstLineChars="200"/>
        <w:rPr>
          <w:rFonts w:hAnsi="Times New Roman"/>
        </w:rPr>
      </w:pPr>
      <w:r>
        <w:rPr>
          <w:rFonts w:hint="eastAsia" w:hAnsi="Times New Roman"/>
        </w:rPr>
        <w:t>（</w:t>
      </w:r>
      <w:r>
        <w:rPr>
          <w:rFonts w:hAnsi="Times New Roman"/>
        </w:rPr>
        <w:t>3</w:t>
      </w:r>
      <w:r>
        <w:rPr>
          <w:rFonts w:hint="eastAsia" w:hAnsi="Times New Roman"/>
        </w:rPr>
        <w:t>）乙方应配合甲方对标的(物)进行实施和应用。</w:t>
      </w:r>
    </w:p>
    <w:p w14:paraId="4B69D5DC">
      <w:pPr>
        <w:tabs>
          <w:tab w:val="center" w:pos="4153"/>
        </w:tabs>
        <w:spacing w:line="360" w:lineRule="auto"/>
        <w:ind w:firstLine="420" w:firstLineChars="200"/>
        <w:rPr>
          <w:rFonts w:hAnsi="Times New Roman"/>
        </w:rPr>
      </w:pPr>
      <w:r>
        <w:rPr>
          <w:rFonts w:hint="eastAsia" w:hAnsi="Times New Roman"/>
        </w:rPr>
        <w:t>（</w:t>
      </w:r>
      <w:r>
        <w:rPr>
          <w:rFonts w:hAnsi="Times New Roman"/>
        </w:rPr>
        <w:t>4</w:t>
      </w:r>
      <w:r>
        <w:rPr>
          <w:rFonts w:hint="eastAsia" w:hAnsi="Times New Roman"/>
        </w:rPr>
        <w:t>）乙方指定项目经理全程参与项目并处理有关事宜，定期向甲方汇报合同履行情况，协助甲方对标的(物)或项目进行验收，与甲方共同保障本合同预期目标的实现。</w:t>
      </w:r>
    </w:p>
    <w:p w14:paraId="363E237A">
      <w:pPr>
        <w:tabs>
          <w:tab w:val="center" w:pos="4153"/>
        </w:tabs>
        <w:spacing w:line="360" w:lineRule="auto"/>
        <w:ind w:firstLine="420" w:firstLineChars="200"/>
        <w:rPr>
          <w:rFonts w:hAnsi="Times New Roman"/>
        </w:rPr>
      </w:pPr>
      <w:r>
        <w:rPr>
          <w:rFonts w:hint="eastAsia" w:hAnsi="Times New Roman"/>
        </w:rPr>
        <w:t>（</w:t>
      </w:r>
      <w:r>
        <w:rPr>
          <w:rFonts w:hAnsi="Times New Roman"/>
        </w:rPr>
        <w:t>5</w:t>
      </w:r>
      <w:r>
        <w:rPr>
          <w:rFonts w:hint="eastAsia" w:hAnsi="Times New Roman"/>
        </w:rPr>
        <w:t>）乙方负责对甲方操作人员进行使用培训。</w:t>
      </w:r>
    </w:p>
    <w:p w14:paraId="08E3CEE6">
      <w:pPr>
        <w:tabs>
          <w:tab w:val="center" w:pos="4153"/>
        </w:tabs>
        <w:spacing w:line="360" w:lineRule="auto"/>
        <w:ind w:firstLine="420" w:firstLineChars="200"/>
        <w:rPr>
          <w:rFonts w:hAnsi="Times New Roman"/>
        </w:rPr>
      </w:pPr>
      <w:r>
        <w:rPr>
          <w:rFonts w:hint="eastAsia" w:hAnsi="Times New Roman"/>
        </w:rPr>
        <w:t>（6）乙方应按时提交项目工作报告，包括周报、月报以及甲方要求的其他报告。乙方需及时提交项目进度和质量的问题，并向甲方提出改进措施的建议和方案。</w:t>
      </w:r>
    </w:p>
    <w:p w14:paraId="2684FD49">
      <w:pPr>
        <w:tabs>
          <w:tab w:val="center" w:pos="4153"/>
        </w:tabs>
        <w:spacing w:line="360" w:lineRule="auto"/>
        <w:ind w:firstLine="420" w:firstLineChars="200"/>
        <w:rPr>
          <w:rFonts w:hAnsi="Times New Roman"/>
        </w:rPr>
      </w:pPr>
      <w:r>
        <w:rPr>
          <w:rFonts w:hint="eastAsia" w:hAnsi="Times New Roman"/>
        </w:rPr>
        <w:t>（7）乙方应向甲方提供标的(物)说明书，施工图纸等说明文档。</w:t>
      </w:r>
    </w:p>
    <w:p w14:paraId="56F5A80B">
      <w:pPr>
        <w:tabs>
          <w:tab w:val="center" w:pos="4153"/>
        </w:tabs>
        <w:spacing w:line="360" w:lineRule="auto"/>
        <w:ind w:firstLine="420" w:firstLineChars="200"/>
        <w:rPr>
          <w:rFonts w:hAnsi="Times New Roman"/>
        </w:rPr>
      </w:pPr>
      <w:r>
        <w:rPr>
          <w:rFonts w:hint="eastAsia" w:hAnsi="Times New Roman"/>
        </w:rPr>
        <w:t>（9）乙方所提供标的(物)应满足</w:t>
      </w:r>
      <w:r>
        <w:rPr>
          <w:rFonts w:hint="eastAsia" w:hAnsi="Times New Roman"/>
          <w:bCs/>
        </w:rPr>
        <w:t>安全等级保护三级以上标准</w:t>
      </w:r>
      <w:r>
        <w:rPr>
          <w:rFonts w:hint="eastAsia" w:hAnsi="Times New Roman"/>
        </w:rPr>
        <w:t>及甲方的相关信息安全要求。</w:t>
      </w:r>
    </w:p>
    <w:p w14:paraId="293C95A0">
      <w:pPr>
        <w:numPr>
          <w:ilvl w:val="0"/>
          <w:numId w:val="4"/>
        </w:numPr>
        <w:tabs>
          <w:tab w:val="center" w:pos="4153"/>
        </w:tabs>
        <w:spacing w:line="360" w:lineRule="auto"/>
        <w:rPr>
          <w:rFonts w:hAnsi="Times New Roman"/>
          <w:b/>
          <w:sz w:val="28"/>
          <w:szCs w:val="28"/>
        </w:rPr>
      </w:pPr>
      <w:r>
        <w:rPr>
          <w:rFonts w:hint="eastAsia" w:hAnsi="Times New Roman"/>
          <w:b/>
          <w:sz w:val="28"/>
          <w:szCs w:val="28"/>
        </w:rPr>
        <w:t>开票约定</w:t>
      </w:r>
    </w:p>
    <w:p w14:paraId="1444D69F">
      <w:pPr>
        <w:numPr>
          <w:ilvl w:val="0"/>
          <w:numId w:val="9"/>
        </w:numPr>
        <w:spacing w:line="360" w:lineRule="auto"/>
        <w:ind w:firstLine="420" w:firstLineChars="200"/>
        <w:rPr>
          <w:rFonts w:ascii="宋体"/>
          <w:szCs w:val="21"/>
        </w:rPr>
      </w:pPr>
      <w:r>
        <w:rPr>
          <w:rFonts w:hint="eastAsia" w:ascii="宋体"/>
          <w:szCs w:val="21"/>
        </w:rPr>
        <w:t>甲方每次付款前乙方须向甲方出具等额的中华人民共和国法定发票，甲方根据乙方提供的合格发票支付相应款项，如乙方提交的发票不正确，甲方可延迟付款，但不承担违约责任。</w:t>
      </w:r>
    </w:p>
    <w:p w14:paraId="2FEA4DC8">
      <w:pPr>
        <w:numPr>
          <w:ilvl w:val="0"/>
          <w:numId w:val="9"/>
        </w:numPr>
        <w:spacing w:line="360" w:lineRule="auto"/>
        <w:ind w:firstLine="420" w:firstLineChars="200"/>
        <w:rPr>
          <w:rFonts w:ascii="宋体"/>
          <w:szCs w:val="21"/>
        </w:rPr>
      </w:pPr>
      <w:r>
        <w:rPr>
          <w:rFonts w:hint="eastAsia" w:ascii="宋体"/>
          <w:szCs w:val="21"/>
        </w:rPr>
        <w:t>根据税法规定，发票必须在真实的业务交易下方能开具，故发票名称必须与合同签订单位一致。乙方开票信息为：</w:t>
      </w:r>
      <w:r>
        <w:rPr>
          <w:rFonts w:hint="eastAsia" w:ascii="Arial" w:hAnsi="Arial"/>
        </w:rPr>
        <w:t>名称</w:t>
      </w:r>
      <w:r>
        <w:rPr>
          <w:rFonts w:ascii="Arial" w:hAnsi="Arial"/>
        </w:rPr>
        <w:t>：</w:t>
      </w:r>
      <w:r>
        <w:rPr>
          <w:rFonts w:hint="eastAsia" w:ascii="Arial" w:hAnsi="Arial"/>
          <w:u w:val="single"/>
        </w:rPr>
        <w:t xml:space="preserve">                  </w:t>
      </w:r>
      <w:r>
        <w:rPr>
          <w:rFonts w:hint="eastAsia" w:ascii="Arial" w:hAnsi="Arial"/>
        </w:rPr>
        <w:t>；</w:t>
      </w:r>
      <w:r>
        <w:rPr>
          <w:rFonts w:ascii="Arial" w:hAnsi="Arial"/>
        </w:rPr>
        <w:t>开户名称</w:t>
      </w:r>
      <w:r>
        <w:rPr>
          <w:rFonts w:hint="eastAsia" w:ascii="Arial" w:hAnsi="Arial"/>
        </w:rPr>
        <w:t>：</w:t>
      </w:r>
      <w:r>
        <w:rPr>
          <w:rFonts w:hint="eastAsia" w:ascii="Arial" w:hAnsi="Arial"/>
          <w:u w:val="single"/>
        </w:rPr>
        <w:t xml:space="preserve">                       </w:t>
      </w:r>
      <w:r>
        <w:rPr>
          <w:rFonts w:hint="eastAsia" w:ascii="Arial" w:hAnsi="Arial"/>
        </w:rPr>
        <w:t>；</w:t>
      </w:r>
      <w:r>
        <w:rPr>
          <w:rFonts w:ascii="Arial" w:hAnsi="Arial"/>
        </w:rPr>
        <w:t>纳税人识别号：</w:t>
      </w:r>
      <w:r>
        <w:rPr>
          <w:rFonts w:hint="eastAsia" w:ascii="Arial" w:hAnsi="Arial"/>
          <w:u w:val="single"/>
        </w:rPr>
        <w:t xml:space="preserve">                    </w:t>
      </w:r>
      <w:r>
        <w:rPr>
          <w:rFonts w:hint="eastAsia" w:ascii="Arial" w:hAnsi="Arial"/>
        </w:rPr>
        <w:t>，</w:t>
      </w:r>
      <w:r>
        <w:rPr>
          <w:rFonts w:ascii="Arial" w:hAnsi="Arial"/>
        </w:rPr>
        <w:t>地址：</w:t>
      </w:r>
      <w:r>
        <w:rPr>
          <w:rFonts w:hint="eastAsia" w:ascii="Arial" w:hAnsi="Arial"/>
          <w:u w:val="single"/>
        </w:rPr>
        <w:t xml:space="preserve">                  </w:t>
      </w:r>
      <w:r>
        <w:rPr>
          <w:rFonts w:hint="eastAsia" w:ascii="Arial" w:hAnsi="Arial"/>
        </w:rPr>
        <w:t>；开户行：</w:t>
      </w:r>
      <w:r>
        <w:rPr>
          <w:rFonts w:hint="eastAsia" w:ascii="Arial" w:hAnsi="Arial"/>
          <w:u w:val="single"/>
        </w:rPr>
        <w:t xml:space="preserve">                  </w:t>
      </w:r>
      <w:r>
        <w:rPr>
          <w:rFonts w:hint="eastAsia" w:ascii="Arial" w:hAnsi="Arial"/>
        </w:rPr>
        <w:t>；</w:t>
      </w:r>
      <w:r>
        <w:rPr>
          <w:rFonts w:ascii="Arial" w:hAnsi="Arial"/>
        </w:rPr>
        <w:t>账号</w:t>
      </w:r>
      <w:r>
        <w:rPr>
          <w:rFonts w:hint="eastAsia" w:ascii="Arial" w:hAnsi="Arial"/>
        </w:rPr>
        <w:t>：</w:t>
      </w:r>
      <w:r>
        <w:rPr>
          <w:rFonts w:hint="eastAsia" w:ascii="Arial" w:hAnsi="Arial"/>
          <w:u w:val="single"/>
        </w:rPr>
        <w:t xml:space="preserve">                  </w:t>
      </w:r>
      <w:r>
        <w:rPr>
          <w:rFonts w:hint="eastAsia" w:ascii="Arial" w:hAnsi="Arial"/>
        </w:rPr>
        <w:t>。</w:t>
      </w:r>
    </w:p>
    <w:p w14:paraId="4AB6B817">
      <w:pPr>
        <w:numPr>
          <w:ilvl w:val="0"/>
          <w:numId w:val="9"/>
        </w:numPr>
        <w:spacing w:line="360" w:lineRule="auto"/>
        <w:ind w:firstLine="420" w:firstLineChars="200"/>
        <w:rPr>
          <w:rFonts w:ascii="宋体"/>
          <w:szCs w:val="21"/>
        </w:rPr>
      </w:pPr>
      <w:r>
        <w:rPr>
          <w:rFonts w:hint="eastAsia" w:ascii="宋体"/>
          <w:szCs w:val="21"/>
        </w:rPr>
        <w:t>发票种类：增值税</w:t>
      </w:r>
      <w:r>
        <w:rPr>
          <w:rFonts w:hint="eastAsia" w:ascii="宋体"/>
          <w:szCs w:val="21"/>
          <w:u w:val="single"/>
        </w:rPr>
        <w:t>普通</w:t>
      </w:r>
      <w:r>
        <w:rPr>
          <w:rFonts w:hint="eastAsia" w:ascii="宋体"/>
          <w:szCs w:val="21"/>
        </w:rPr>
        <w:t>发票。</w:t>
      </w:r>
    </w:p>
    <w:p w14:paraId="5EC11A4D">
      <w:pPr>
        <w:numPr>
          <w:ilvl w:val="0"/>
          <w:numId w:val="4"/>
        </w:numPr>
        <w:tabs>
          <w:tab w:val="center" w:pos="4153"/>
        </w:tabs>
        <w:spacing w:line="360" w:lineRule="auto"/>
        <w:rPr>
          <w:rFonts w:hAnsi="Times New Roman"/>
          <w:b/>
          <w:sz w:val="28"/>
          <w:szCs w:val="28"/>
        </w:rPr>
      </w:pPr>
      <w:r>
        <w:rPr>
          <w:rFonts w:hint="eastAsia" w:hAnsi="Times New Roman"/>
          <w:b/>
          <w:sz w:val="28"/>
          <w:szCs w:val="28"/>
        </w:rPr>
        <w:t>保密条款</w:t>
      </w:r>
    </w:p>
    <w:p w14:paraId="311AF4E8">
      <w:pPr>
        <w:numPr>
          <w:ilvl w:val="0"/>
          <w:numId w:val="10"/>
        </w:numPr>
        <w:tabs>
          <w:tab w:val="left" w:pos="420"/>
        </w:tabs>
        <w:spacing w:line="360" w:lineRule="auto"/>
        <w:ind w:left="0" w:firstLine="420" w:firstLineChars="200"/>
        <w:rPr>
          <w:rFonts w:hAnsi="Times New Roman"/>
        </w:rPr>
      </w:pPr>
      <w:bookmarkStart w:id="7" w:name="_Hlk199353831"/>
      <w:r>
        <w:rPr>
          <w:rFonts w:hint="eastAsia" w:hAnsi="Times New Roman"/>
        </w:rPr>
        <w:t>双方应当对本合同的内容、因履行本合同或在本合同期间获得的或收到的对方的商务、财务、技术、产品的信息、用户资料或其他表明保密的文件或信息的内容</w:t>
      </w:r>
      <w:r>
        <w:rPr>
          <w:rFonts w:hAnsi="Times New Roman"/>
        </w:rPr>
        <w:t>(</w:t>
      </w:r>
      <w:r>
        <w:rPr>
          <w:rFonts w:hint="eastAsia" w:hAnsi="Times New Roman"/>
        </w:rPr>
        <w:t>简称“保密资料”</w:t>
      </w:r>
      <w:r>
        <w:rPr>
          <w:rFonts w:hAnsi="Times New Roman"/>
        </w:rPr>
        <w:t>)</w:t>
      </w:r>
      <w:r>
        <w:rPr>
          <w:rFonts w:hint="eastAsia" w:hAnsi="Times New Roman"/>
        </w:rPr>
        <w:t>保守秘密，除非得到另一方的书面许可，甲乙双方均不得将本合同中的内容及在本合同执行过程中获得的对方的信息向任何第三方泄露。</w:t>
      </w:r>
    </w:p>
    <w:p w14:paraId="72324890">
      <w:pPr>
        <w:numPr>
          <w:ilvl w:val="0"/>
          <w:numId w:val="10"/>
        </w:numPr>
        <w:tabs>
          <w:tab w:val="left" w:pos="420"/>
        </w:tabs>
        <w:spacing w:line="360" w:lineRule="auto"/>
        <w:ind w:left="0" w:firstLine="420" w:firstLineChars="200"/>
        <w:rPr>
          <w:rFonts w:hAnsi="Times New Roman"/>
        </w:rPr>
      </w:pPr>
      <w:r>
        <w:rPr>
          <w:rFonts w:hint="eastAsia" w:hAnsi="Times New Roman"/>
        </w:rPr>
        <w:t>乙方从甲方获得所有保密信息，乙方仅对保密信息具有使用权，而没有所有权、知识产权及解释权。 </w:t>
      </w:r>
    </w:p>
    <w:p w14:paraId="0E16A5D1">
      <w:pPr>
        <w:numPr>
          <w:ilvl w:val="0"/>
          <w:numId w:val="10"/>
        </w:numPr>
        <w:tabs>
          <w:tab w:val="left" w:pos="420"/>
        </w:tabs>
        <w:spacing w:line="360" w:lineRule="auto"/>
        <w:ind w:left="0" w:firstLine="420" w:firstLineChars="200"/>
        <w:rPr>
          <w:rFonts w:hAnsi="Times New Roman"/>
        </w:rPr>
      </w:pPr>
      <w:r>
        <w:rPr>
          <w:rFonts w:hint="eastAsia" w:hAnsi="Times New Roman"/>
        </w:rPr>
        <w:t>甲方所披露的保密信息只能被乙方用于本项目的实施工作，不得将甲方所披露的保密信息用于其它任何目的。 </w:t>
      </w:r>
    </w:p>
    <w:p w14:paraId="15E3ECD0">
      <w:pPr>
        <w:numPr>
          <w:ilvl w:val="0"/>
          <w:numId w:val="10"/>
        </w:numPr>
        <w:tabs>
          <w:tab w:val="left" w:pos="420"/>
        </w:tabs>
        <w:spacing w:line="360" w:lineRule="auto"/>
        <w:ind w:left="0" w:firstLine="420" w:firstLineChars="200"/>
        <w:rPr>
          <w:rFonts w:hAnsi="Times New Roman"/>
        </w:rPr>
      </w:pPr>
      <w:r>
        <w:rPr>
          <w:rFonts w:hint="eastAsia" w:hAnsi="Times New Roman"/>
        </w:rPr>
        <w:t>乙方有义务妥善保管保密信息。乙方承诺采取合理的措施以保证保密信息不被泄露，此种措施应至少与甲方对自己的保密信息所采取的措施相当。 </w:t>
      </w:r>
    </w:p>
    <w:bookmarkEnd w:id="7"/>
    <w:p w14:paraId="6400AFA4">
      <w:pPr>
        <w:numPr>
          <w:ilvl w:val="0"/>
          <w:numId w:val="10"/>
        </w:numPr>
        <w:tabs>
          <w:tab w:val="left" w:pos="420"/>
        </w:tabs>
        <w:spacing w:line="360" w:lineRule="auto"/>
        <w:ind w:left="0" w:firstLine="420" w:firstLineChars="200"/>
        <w:rPr>
          <w:rFonts w:hAnsi="Times New Roman"/>
        </w:rPr>
      </w:pPr>
      <w:r>
        <w:rPr>
          <w:rFonts w:hint="eastAsia" w:hAnsi="Times New Roman"/>
        </w:rPr>
        <w:t>乙方仅能向有知悉必要的乙方人员（包括但不限于雇员或顾问）披露保密信息。一经发现对保密信息的任何未经授权的披露或乙方及其人员违反本协议时，乙方应立即通知甲方，并采取措施防止进一步未经授权而使用保密信息。 </w:t>
      </w:r>
    </w:p>
    <w:p w14:paraId="095F1CBE">
      <w:pPr>
        <w:numPr>
          <w:ilvl w:val="0"/>
          <w:numId w:val="10"/>
        </w:numPr>
        <w:tabs>
          <w:tab w:val="left" w:pos="420"/>
        </w:tabs>
        <w:spacing w:line="360" w:lineRule="auto"/>
        <w:ind w:left="0" w:firstLine="420" w:firstLineChars="200"/>
        <w:rPr>
          <w:rFonts w:hAnsi="Times New Roman"/>
        </w:rPr>
      </w:pPr>
      <w:r>
        <w:rPr>
          <w:rFonts w:hint="eastAsia" w:hAnsi="Times New Roman"/>
        </w:rPr>
        <w:t>未经甲方的事先书面批准，乙方不得直接或间接以任何形式或任何方式把保密信息或其中的任何部分，披露、透露给任何第三方或者公开，乙方保证不向任何第三方披露本协议的存在或本协议的任何内容。 </w:t>
      </w:r>
    </w:p>
    <w:p w14:paraId="20DE69A9">
      <w:pPr>
        <w:numPr>
          <w:ilvl w:val="0"/>
          <w:numId w:val="10"/>
        </w:numPr>
        <w:tabs>
          <w:tab w:val="left" w:pos="420"/>
        </w:tabs>
        <w:spacing w:line="360" w:lineRule="auto"/>
        <w:ind w:left="0" w:firstLine="420" w:firstLineChars="200"/>
        <w:rPr>
          <w:rFonts w:hAnsi="Times New Roman"/>
        </w:rPr>
      </w:pPr>
      <w:r>
        <w:rPr>
          <w:rFonts w:hint="eastAsia" w:hAnsi="Times New Roman"/>
        </w:rPr>
        <w:t>严禁乙方工作人员利用工作便利以任何途径和方式，为甲方统计医师个人及临床科室有关医药产品用量信息，或为第三方统计提供便利。若工作中发现其他人员有相关违法违纪或泄露相关信息的行为，应立即与甲方或乙方负责人反馈。</w:t>
      </w:r>
    </w:p>
    <w:p w14:paraId="0F883A8F">
      <w:pPr>
        <w:numPr>
          <w:ilvl w:val="0"/>
          <w:numId w:val="10"/>
        </w:numPr>
        <w:tabs>
          <w:tab w:val="left" w:pos="420"/>
        </w:tabs>
        <w:spacing w:line="360" w:lineRule="auto"/>
        <w:ind w:left="0" w:firstLine="420" w:firstLineChars="200"/>
        <w:rPr>
          <w:rFonts w:hAnsi="Times New Roman"/>
        </w:rPr>
      </w:pPr>
      <w:r>
        <w:rPr>
          <w:rFonts w:hint="eastAsia" w:hAnsi="Times New Roman"/>
        </w:rPr>
        <w:t>乙方应当告知并以适当方式要求其参与本项工作之雇员遵守本协议规定，乙方人员向第三方披露保密信息，或依据该等保密信息向第三方做出任何建议，都被视为乙方违反本协议。 </w:t>
      </w:r>
    </w:p>
    <w:p w14:paraId="783B4255">
      <w:pPr>
        <w:numPr>
          <w:ilvl w:val="0"/>
          <w:numId w:val="10"/>
        </w:numPr>
        <w:tabs>
          <w:tab w:val="left" w:pos="420"/>
        </w:tabs>
        <w:spacing w:line="360" w:lineRule="auto"/>
        <w:ind w:left="0" w:firstLine="420" w:firstLineChars="200"/>
        <w:rPr>
          <w:rFonts w:hAnsi="Times New Roman"/>
        </w:rPr>
      </w:pPr>
      <w:r>
        <w:rPr>
          <w:rFonts w:hint="eastAsia" w:hAnsi="Times New Roman"/>
        </w:rPr>
        <w:t>乙方参加本项目的所有人员必须与乙方签有正式的保密协议，并且该人员在知晓保密信息前应已充分了解本协议的内容。 </w:t>
      </w:r>
    </w:p>
    <w:p w14:paraId="146CB489">
      <w:pPr>
        <w:numPr>
          <w:ilvl w:val="0"/>
          <w:numId w:val="10"/>
        </w:numPr>
        <w:tabs>
          <w:tab w:val="left" w:pos="420"/>
        </w:tabs>
        <w:spacing w:line="360" w:lineRule="auto"/>
        <w:ind w:left="0" w:firstLine="420" w:firstLineChars="200"/>
        <w:rPr>
          <w:rFonts w:hAnsi="Times New Roman"/>
        </w:rPr>
      </w:pPr>
      <w:r>
        <w:rPr>
          <w:rFonts w:hint="eastAsia" w:hAnsi="Times New Roman"/>
        </w:rPr>
        <w:t>乙方不得全部或部分复制或仿造保密信息。</w:t>
      </w:r>
    </w:p>
    <w:p w14:paraId="2956B6C6">
      <w:pPr>
        <w:numPr>
          <w:ilvl w:val="0"/>
          <w:numId w:val="10"/>
        </w:numPr>
        <w:tabs>
          <w:tab w:val="left" w:pos="420"/>
        </w:tabs>
        <w:spacing w:line="360" w:lineRule="auto"/>
        <w:ind w:left="0" w:firstLine="420" w:firstLineChars="200"/>
        <w:rPr>
          <w:rFonts w:hAnsi="Times New Roman"/>
        </w:rPr>
      </w:pPr>
      <w:r>
        <w:rPr>
          <w:rFonts w:hint="eastAsia" w:hAnsi="Times New Roman"/>
        </w:rPr>
        <w:t>甲方人员不得要求乙方为其统计医师个人及临床科室有关医药产品用量信息，或要求其以任何方式向第三方透露保密信息或其中的任何部分。</w:t>
      </w:r>
    </w:p>
    <w:p w14:paraId="7EAE9CF2">
      <w:pPr>
        <w:pStyle w:val="19"/>
        <w:numPr>
          <w:ilvl w:val="0"/>
          <w:numId w:val="10"/>
        </w:numPr>
        <w:tabs>
          <w:tab w:val="left" w:pos="420"/>
        </w:tabs>
        <w:spacing w:line="360" w:lineRule="auto"/>
        <w:ind w:left="0" w:firstLine="420"/>
        <w:rPr>
          <w:rFonts w:hAnsi="Times New Roman"/>
        </w:rPr>
      </w:pPr>
      <w:r>
        <w:rPr>
          <w:rFonts w:hint="eastAsia" w:hAnsi="Times New Roman"/>
        </w:rPr>
        <w:t>乙方违反以上任何保密规定，均视为违约。违约方应当对其违约行为给甲方造成的损失承担赔偿责任，并向有关卫生计生行政部门报告。并严格按照相关规定处理。</w:t>
      </w:r>
    </w:p>
    <w:p w14:paraId="0BC7FA03">
      <w:pPr>
        <w:pStyle w:val="19"/>
        <w:numPr>
          <w:ilvl w:val="0"/>
          <w:numId w:val="10"/>
        </w:numPr>
        <w:tabs>
          <w:tab w:val="left" w:pos="420"/>
        </w:tabs>
        <w:spacing w:line="360" w:lineRule="auto"/>
        <w:ind w:left="0" w:firstLine="420"/>
        <w:rPr>
          <w:rFonts w:hAnsi="Times New Roman"/>
        </w:rPr>
      </w:pPr>
      <w:r>
        <w:rPr>
          <w:rFonts w:hint="eastAsia" w:hAnsi="Times New Roman"/>
        </w:rPr>
        <w:t>因商业机密泄露造成的损失，由泄露方承担相应的责任。</w:t>
      </w:r>
    </w:p>
    <w:p w14:paraId="11CEEF94">
      <w:pPr>
        <w:pStyle w:val="19"/>
        <w:numPr>
          <w:ilvl w:val="0"/>
          <w:numId w:val="10"/>
        </w:numPr>
        <w:tabs>
          <w:tab w:val="left" w:pos="420"/>
        </w:tabs>
        <w:spacing w:line="360" w:lineRule="auto"/>
        <w:ind w:left="0" w:firstLine="420"/>
        <w:rPr>
          <w:rFonts w:hAnsi="Times New Roman"/>
        </w:rPr>
      </w:pPr>
      <w:r>
        <w:rPr>
          <w:rFonts w:hint="eastAsia" w:hAnsi="Times New Roman"/>
        </w:rPr>
        <w:t>本保密义务应在本协议期满、解除或终止后仍然有效。</w:t>
      </w:r>
    </w:p>
    <w:p w14:paraId="4AC9B3DE">
      <w:pPr>
        <w:numPr>
          <w:ilvl w:val="0"/>
          <w:numId w:val="4"/>
        </w:numPr>
        <w:tabs>
          <w:tab w:val="center" w:pos="4153"/>
        </w:tabs>
        <w:spacing w:line="360" w:lineRule="auto"/>
        <w:rPr>
          <w:rFonts w:hAnsi="Times New Roman"/>
          <w:b/>
          <w:sz w:val="28"/>
          <w:szCs w:val="28"/>
        </w:rPr>
      </w:pPr>
      <w:r>
        <w:rPr>
          <w:rFonts w:hint="eastAsia" w:hAnsi="Times New Roman"/>
          <w:b/>
          <w:sz w:val="28"/>
          <w:szCs w:val="28"/>
        </w:rPr>
        <w:t>违约与赔偿</w:t>
      </w:r>
    </w:p>
    <w:p w14:paraId="370620D8">
      <w:pPr>
        <w:numPr>
          <w:ilvl w:val="0"/>
          <w:numId w:val="11"/>
        </w:numPr>
        <w:tabs>
          <w:tab w:val="left" w:pos="420"/>
        </w:tabs>
        <w:spacing w:line="360" w:lineRule="auto"/>
        <w:ind w:left="0" w:firstLine="420" w:firstLineChars="200"/>
        <w:rPr>
          <w:rFonts w:hAnsi="Times New Roman"/>
        </w:rPr>
      </w:pPr>
      <w:r>
        <w:rPr>
          <w:rFonts w:hint="eastAsia" w:hAnsi="Times New Roman"/>
        </w:rPr>
        <w:t>如乙方违约，须向甲方承担合同总价10%的违约金。</w:t>
      </w:r>
    </w:p>
    <w:p w14:paraId="0126C61B">
      <w:pPr>
        <w:numPr>
          <w:ilvl w:val="0"/>
          <w:numId w:val="11"/>
        </w:numPr>
        <w:tabs>
          <w:tab w:val="left" w:pos="420"/>
        </w:tabs>
        <w:spacing w:line="360" w:lineRule="auto"/>
        <w:ind w:left="0" w:firstLine="420" w:firstLineChars="200"/>
        <w:rPr>
          <w:rFonts w:hAnsi="Times New Roman"/>
        </w:rPr>
      </w:pPr>
      <w:r>
        <w:rPr>
          <w:rFonts w:hint="eastAsia" w:hAnsi="Times New Roman"/>
        </w:rPr>
        <w:t>乙方</w:t>
      </w:r>
      <w:bookmarkStart w:id="8" w:name="_Hlk182595837"/>
      <w:r>
        <w:rPr>
          <w:rFonts w:hint="eastAsia" w:hAnsi="Times New Roman"/>
        </w:rPr>
        <w:t>存在明显违约且对甲方利益造成影响，或者存在其他违约行为且未能按照甲方要求全部整改完毕，甲方均有权解除本合同。</w:t>
      </w:r>
      <w:bookmarkEnd w:id="8"/>
    </w:p>
    <w:p w14:paraId="478A9FCC">
      <w:pPr>
        <w:numPr>
          <w:ilvl w:val="0"/>
          <w:numId w:val="11"/>
        </w:numPr>
        <w:tabs>
          <w:tab w:val="left" w:pos="420"/>
        </w:tabs>
        <w:spacing w:line="360" w:lineRule="auto"/>
        <w:ind w:left="0" w:firstLine="420" w:firstLineChars="200"/>
        <w:rPr>
          <w:rFonts w:hAnsi="Times New Roman"/>
        </w:rPr>
      </w:pPr>
      <w:bookmarkStart w:id="9" w:name="_Hlk182595864"/>
      <w:r>
        <w:rPr>
          <w:rFonts w:hint="eastAsia" w:hAnsi="Times New Roman"/>
        </w:rPr>
        <w:t>如甲方基于乙方违约而解除合同的，甲方除无需再向乙方支付任何款项之外，乙方还必须立即无条件退回从甲方处收到的全部所有款项，并向甲方承担违约金、赔偿损失。</w:t>
      </w:r>
    </w:p>
    <w:p w14:paraId="2C213279">
      <w:pPr>
        <w:numPr>
          <w:ilvl w:val="0"/>
          <w:numId w:val="11"/>
        </w:numPr>
        <w:tabs>
          <w:tab w:val="left" w:pos="420"/>
        </w:tabs>
        <w:spacing w:line="360" w:lineRule="auto"/>
        <w:ind w:left="0" w:firstLine="420" w:firstLineChars="200"/>
        <w:rPr>
          <w:rFonts w:hAnsi="Times New Roman"/>
        </w:rPr>
      </w:pPr>
      <w:r>
        <w:rPr>
          <w:rFonts w:hint="eastAsia" w:hAnsi="Times New Roman"/>
        </w:rPr>
        <w:t>如甲方逾期付款且经乙方催要后，仍违约逾期支付，则从收到乙方书面催要通知之次日起，按同期LPR的标准向对方承担对应的银行利息损失。</w:t>
      </w:r>
    </w:p>
    <w:bookmarkEnd w:id="9"/>
    <w:p w14:paraId="109A1757">
      <w:pPr>
        <w:numPr>
          <w:ilvl w:val="0"/>
          <w:numId w:val="4"/>
        </w:numPr>
        <w:tabs>
          <w:tab w:val="center" w:pos="4153"/>
        </w:tabs>
        <w:spacing w:line="360" w:lineRule="auto"/>
        <w:rPr>
          <w:rFonts w:hAnsi="Times New Roman"/>
          <w:b/>
          <w:sz w:val="28"/>
          <w:szCs w:val="28"/>
        </w:rPr>
      </w:pPr>
      <w:r>
        <w:rPr>
          <w:rFonts w:hint="eastAsia" w:hAnsi="Times New Roman"/>
          <w:b/>
          <w:sz w:val="28"/>
          <w:szCs w:val="28"/>
        </w:rPr>
        <w:t>争议解决</w:t>
      </w:r>
    </w:p>
    <w:p w14:paraId="027E0DBF">
      <w:pPr>
        <w:tabs>
          <w:tab w:val="left" w:pos="420"/>
        </w:tabs>
        <w:spacing w:line="360" w:lineRule="auto"/>
        <w:ind w:firstLine="420" w:firstLineChars="200"/>
        <w:rPr>
          <w:rFonts w:hAnsi="Times New Roman"/>
        </w:rPr>
      </w:pPr>
      <w:r>
        <w:rPr>
          <w:rFonts w:hAnsi="Times New Roman"/>
        </w:rPr>
        <w:t>1</w:t>
      </w:r>
      <w:r>
        <w:rPr>
          <w:rFonts w:hint="eastAsia" w:hAnsi="Times New Roman"/>
        </w:rPr>
        <w:t>、就合同条款的解释和执行等发生纠纷，双方应及时协商解决，协商不成时，则由甲方所在地人民法院处理。</w:t>
      </w:r>
    </w:p>
    <w:p w14:paraId="38E20126">
      <w:pPr>
        <w:tabs>
          <w:tab w:val="left" w:pos="420"/>
        </w:tabs>
        <w:spacing w:line="360" w:lineRule="auto"/>
        <w:ind w:firstLine="420" w:firstLineChars="200"/>
        <w:rPr>
          <w:rFonts w:hAnsi="Times New Roman"/>
        </w:rPr>
      </w:pPr>
      <w:r>
        <w:rPr>
          <w:rFonts w:hAnsi="Times New Roman"/>
        </w:rPr>
        <w:t>2</w:t>
      </w:r>
      <w:r>
        <w:rPr>
          <w:rFonts w:hint="eastAsia" w:hAnsi="Times New Roman"/>
        </w:rPr>
        <w:t>、因一方违约致使对方采取诉讼方式实现债权的，违约方应当承担对方为此支付的诉讼费、律师费、差旅费等实现债权的费用。</w:t>
      </w:r>
    </w:p>
    <w:p w14:paraId="5152E174">
      <w:pPr>
        <w:numPr>
          <w:ilvl w:val="0"/>
          <w:numId w:val="4"/>
        </w:numPr>
        <w:tabs>
          <w:tab w:val="center" w:pos="4153"/>
        </w:tabs>
        <w:spacing w:line="360" w:lineRule="auto"/>
        <w:rPr>
          <w:rFonts w:hAnsi="Times New Roman"/>
          <w:b/>
          <w:color w:val="000000"/>
          <w:sz w:val="28"/>
          <w:szCs w:val="28"/>
        </w:rPr>
      </w:pPr>
      <w:r>
        <w:rPr>
          <w:rFonts w:hint="eastAsia" w:hAnsi="Times New Roman"/>
          <w:b/>
          <w:color w:val="000000"/>
          <w:sz w:val="28"/>
          <w:szCs w:val="28"/>
        </w:rPr>
        <w:t>履约保证金</w:t>
      </w:r>
    </w:p>
    <w:p w14:paraId="739FF707">
      <w:pPr>
        <w:tabs>
          <w:tab w:val="left" w:pos="420"/>
        </w:tabs>
        <w:spacing w:line="360" w:lineRule="auto"/>
        <w:ind w:firstLine="420" w:firstLineChars="200"/>
        <w:rPr>
          <w:rFonts w:hAnsi="Times New Roman"/>
        </w:rPr>
      </w:pPr>
      <w:r>
        <w:rPr>
          <w:rFonts w:hint="eastAsia" w:hAnsi="Times New Roman"/>
        </w:rPr>
        <w:t>1.乙方应向甲方缴纳合同总金额的</w:t>
      </w:r>
      <w:r>
        <w:rPr>
          <w:rFonts w:hint="eastAsia" w:hAnsi="Times New Roman"/>
          <w:b/>
          <w:bCs/>
        </w:rPr>
        <w:t>10%</w:t>
      </w:r>
      <w:r>
        <w:rPr>
          <w:rFonts w:hint="eastAsia" w:hAnsi="Times New Roman"/>
        </w:rPr>
        <w:t>作为本合同的履约保证金，人民币(大写)</w:t>
      </w:r>
      <w:r>
        <w:rPr>
          <w:rFonts w:hint="eastAsia" w:hAnsi="Times New Roman"/>
          <w:u w:val="single"/>
        </w:rPr>
        <w:t xml:space="preserve">   /    </w:t>
      </w:r>
      <w:r>
        <w:rPr>
          <w:rFonts w:hint="eastAsia" w:hAnsi="Times New Roman"/>
        </w:rPr>
        <w:t>元整(小写:￥</w:t>
      </w:r>
      <w:r>
        <w:rPr>
          <w:rFonts w:hint="eastAsia" w:hAnsi="Times New Roman"/>
          <w:u w:val="single"/>
        </w:rPr>
        <w:t xml:space="preserve">   /   </w:t>
      </w:r>
      <w:r>
        <w:rPr>
          <w:rFonts w:hint="eastAsia" w:hAnsi="Times New Roman"/>
        </w:rPr>
        <w:t>元)。</w:t>
      </w:r>
    </w:p>
    <w:p w14:paraId="5AD4CA37">
      <w:pPr>
        <w:tabs>
          <w:tab w:val="left" w:pos="420"/>
        </w:tabs>
        <w:spacing w:line="360" w:lineRule="auto"/>
        <w:ind w:firstLine="420" w:firstLineChars="200"/>
        <w:rPr>
          <w:rFonts w:hAnsi="Times New Roman"/>
        </w:rPr>
      </w:pPr>
      <w:r>
        <w:rPr>
          <w:rFonts w:hint="eastAsia" w:hAnsi="Times New Roman"/>
        </w:rPr>
        <w:t>2.乙方应在本合同签订之日起</w:t>
      </w:r>
      <w:r>
        <w:rPr>
          <w:rFonts w:hint="eastAsia" w:hAnsi="Times New Roman"/>
          <w:b/>
          <w:bCs/>
          <w:u w:val="single"/>
        </w:rPr>
        <w:t xml:space="preserve"> 7</w:t>
      </w:r>
      <w:r>
        <w:rPr>
          <w:rFonts w:hint="eastAsia" w:hAnsi="Times New Roman"/>
        </w:rPr>
        <w:t>个工作日内,将履约保证金足额缴纳至甲方指定的账户，如果逾期，应按四倍同期 LPR 的标准向甲方承担违约金。超过 7个工作日未交履约保证金的，甲方还有权据此直接解除合同并追究乙方其他各项违约责任。</w:t>
      </w:r>
    </w:p>
    <w:p w14:paraId="305E97CB">
      <w:pPr>
        <w:tabs>
          <w:tab w:val="left" w:pos="420"/>
        </w:tabs>
        <w:spacing w:line="360" w:lineRule="auto"/>
        <w:ind w:firstLine="420" w:firstLineChars="200"/>
        <w:rPr>
          <w:rFonts w:hAnsi="Times New Roman"/>
        </w:rPr>
      </w:pPr>
      <w:r>
        <w:rPr>
          <w:rFonts w:hint="eastAsia" w:hAnsi="Times New Roman"/>
        </w:rPr>
        <w:t>3.履约保证金用于保证乙方在履行合同过程中遵守合同约定，如乙方违反合同约定，甲方有权从履约保证金中扣除相应金额，该扣除可针对应由乙方承担的违约金、乙方给甲方造成的损失赔偿等等。而且，当前述扣除发生后，乙方应当立即(至少不超过3个工作日)一次性补足，否则,适用前述第 2条约定的违约责任。</w:t>
      </w:r>
    </w:p>
    <w:p w14:paraId="37F20B3B">
      <w:pPr>
        <w:tabs>
          <w:tab w:val="left" w:pos="420"/>
        </w:tabs>
        <w:spacing w:line="360" w:lineRule="auto"/>
        <w:ind w:firstLine="420" w:firstLineChars="200"/>
        <w:rPr>
          <w:rFonts w:hAnsi="Times New Roman"/>
        </w:rPr>
      </w:pPr>
      <w:r>
        <w:rPr>
          <w:rFonts w:hint="eastAsia" w:hAnsi="Times New Roman"/>
        </w:rPr>
        <w:t>4.在乙方完全完成项目并取得验收报告，且乙方提出书面退还履约保证金申请书后，甲方应在 90 个工作日内将剩余履约保证金无息退还给乙方。</w:t>
      </w:r>
    </w:p>
    <w:p w14:paraId="5BA5B105">
      <w:pPr>
        <w:numPr>
          <w:ilvl w:val="0"/>
          <w:numId w:val="4"/>
        </w:numPr>
        <w:tabs>
          <w:tab w:val="center" w:pos="4153"/>
        </w:tabs>
        <w:spacing w:line="360" w:lineRule="auto"/>
        <w:rPr>
          <w:rFonts w:hAnsi="Times New Roman"/>
          <w:b/>
          <w:sz w:val="28"/>
          <w:szCs w:val="28"/>
        </w:rPr>
      </w:pPr>
      <w:r>
        <w:rPr>
          <w:rFonts w:hint="eastAsia" w:hAnsi="Times New Roman"/>
          <w:b/>
          <w:sz w:val="28"/>
          <w:szCs w:val="28"/>
        </w:rPr>
        <w:t>其他事项</w:t>
      </w:r>
    </w:p>
    <w:p w14:paraId="7E84FDCE">
      <w:pPr>
        <w:pStyle w:val="19"/>
        <w:numPr>
          <w:ilvl w:val="0"/>
          <w:numId w:val="12"/>
        </w:numPr>
        <w:tabs>
          <w:tab w:val="left" w:pos="420"/>
        </w:tabs>
        <w:spacing w:line="360" w:lineRule="auto"/>
        <w:ind w:left="0" w:firstLine="420"/>
        <w:rPr>
          <w:rFonts w:hAnsi="Times New Roman"/>
        </w:rPr>
      </w:pPr>
      <w:r>
        <w:rPr>
          <w:rFonts w:hint="eastAsia" w:hAnsi="Times New Roman"/>
        </w:rPr>
        <w:t>本合同未尽事宜，双方协商并签订补充协议，补充协议与本合同具有同等法律效力。</w:t>
      </w:r>
    </w:p>
    <w:p w14:paraId="4F09C4BE">
      <w:pPr>
        <w:pStyle w:val="19"/>
        <w:numPr>
          <w:ilvl w:val="0"/>
          <w:numId w:val="12"/>
        </w:numPr>
        <w:tabs>
          <w:tab w:val="left" w:pos="420"/>
        </w:tabs>
        <w:spacing w:line="360" w:lineRule="auto"/>
        <w:ind w:left="0" w:firstLine="420"/>
        <w:rPr>
          <w:rFonts w:hAnsi="Times New Roman"/>
        </w:rPr>
      </w:pPr>
      <w:r>
        <w:rPr>
          <w:rFonts w:hint="eastAsia" w:hAnsi="Times New Roman"/>
        </w:rPr>
        <w:t>乙方随合同应提供营业执照的复印件（复印件仅供与甲方签订和履行本合同使用，他用无效）并加盖公章。</w:t>
      </w:r>
    </w:p>
    <w:p w14:paraId="44CD7F12">
      <w:pPr>
        <w:pStyle w:val="19"/>
        <w:numPr>
          <w:ilvl w:val="0"/>
          <w:numId w:val="12"/>
        </w:numPr>
        <w:adjustRightInd w:val="0"/>
        <w:spacing w:line="360" w:lineRule="auto"/>
        <w:ind w:left="0" w:firstLine="420"/>
        <w:rPr>
          <w:rFonts w:hAnsi="Times New Roman"/>
        </w:rPr>
      </w:pPr>
      <w:r>
        <w:rPr>
          <w:rFonts w:hint="eastAsia" w:hAnsi="Times New Roman"/>
        </w:rPr>
        <w:t>投标文件、配置清单及承诺书可作为本合同的附件，为本合同的有效组成部分，具有与合同同等的法律效力。</w:t>
      </w:r>
      <w:bookmarkStart w:id="10" w:name="_Hlk182595978"/>
      <w:r>
        <w:rPr>
          <w:rFonts w:hint="eastAsia" w:hAnsi="Times New Roman"/>
        </w:rPr>
        <w:t>甲方的相关制度亦对乙方具备对应的约束力，构成乙方在本合同项下的义务来源并应得到乙方的全面遵守。</w:t>
      </w:r>
    </w:p>
    <w:p w14:paraId="1A90AB69">
      <w:pPr>
        <w:pStyle w:val="19"/>
        <w:numPr>
          <w:ilvl w:val="0"/>
          <w:numId w:val="12"/>
        </w:numPr>
        <w:adjustRightInd w:val="0"/>
        <w:spacing w:line="360" w:lineRule="auto"/>
        <w:ind w:left="0" w:firstLine="420"/>
        <w:rPr>
          <w:rFonts w:hAnsi="Times New Roman"/>
        </w:rPr>
      </w:pPr>
      <w:r>
        <w:rPr>
          <w:rFonts w:hint="eastAsia" w:hAnsi="Times New Roman"/>
        </w:rPr>
        <w:t>乙方因签订和履行本合同而涉及的所有安全义务以及对应的费用，均由乙方自行承担，由此产生的所有法律责任(包括民事\行政\甚至刑事)均由乙方承担。</w:t>
      </w:r>
    </w:p>
    <w:p w14:paraId="3B0C94C4">
      <w:pPr>
        <w:pStyle w:val="19"/>
        <w:numPr>
          <w:ilvl w:val="0"/>
          <w:numId w:val="12"/>
        </w:numPr>
        <w:adjustRightInd w:val="0"/>
        <w:spacing w:line="360" w:lineRule="auto"/>
        <w:ind w:left="0" w:firstLine="420"/>
        <w:rPr>
          <w:rFonts w:hAnsi="Times New Roman"/>
        </w:rPr>
      </w:pPr>
      <w:r>
        <w:rPr>
          <w:rFonts w:hint="eastAsia" w:hAnsi="Times New Roman"/>
        </w:rPr>
        <w:t>本合同载明的乙方住所地以及联系方式，既可作为甲方向乙方送达使用，亦可作为法院向乙方送达使用，且据此所作的前述送达均为有效。</w:t>
      </w:r>
    </w:p>
    <w:p w14:paraId="6CB3F0D4">
      <w:pPr>
        <w:pStyle w:val="19"/>
        <w:numPr>
          <w:ilvl w:val="0"/>
          <w:numId w:val="12"/>
        </w:numPr>
        <w:adjustRightInd w:val="0"/>
        <w:spacing w:line="360" w:lineRule="auto"/>
        <w:ind w:left="0" w:firstLine="420"/>
        <w:rPr>
          <w:rFonts w:hAnsi="Times New Roman"/>
        </w:rPr>
      </w:pPr>
      <w:r>
        <w:rPr>
          <w:rFonts w:hint="eastAsia" w:hAnsi="Times New Roman"/>
        </w:rPr>
        <w:t>本合同所述的各项义务，乙方均应切实履行，即使双方存在付款、开票等争议，乙方亦无权以任何借口或理由拒绝履行。</w:t>
      </w:r>
    </w:p>
    <w:bookmarkEnd w:id="10"/>
    <w:p w14:paraId="4E2AD5BF">
      <w:pPr>
        <w:pStyle w:val="19"/>
        <w:numPr>
          <w:ilvl w:val="0"/>
          <w:numId w:val="12"/>
        </w:numPr>
        <w:adjustRightInd w:val="0"/>
        <w:spacing w:line="360" w:lineRule="auto"/>
        <w:ind w:left="0" w:firstLine="420"/>
        <w:rPr>
          <w:rFonts w:hAnsi="Times New Roman"/>
        </w:rPr>
      </w:pPr>
      <w:r>
        <w:rPr>
          <w:rFonts w:hint="eastAsia" w:hAnsi="Times New Roman"/>
        </w:rPr>
        <w:t>本合同一式四份，甲方执三份，乙方执一份，</w:t>
      </w:r>
      <w:bookmarkStart w:id="11" w:name="_Hlk182594528"/>
      <w:r>
        <w:rPr>
          <w:rFonts w:hint="eastAsia" w:hAnsi="Times New Roman"/>
        </w:rPr>
        <w:t>自双方签字盖章</w:t>
      </w:r>
      <w:bookmarkStart w:id="12" w:name="_Hlk182596016"/>
      <w:r>
        <w:rPr>
          <w:rFonts w:hint="eastAsia" w:hAnsi="Times New Roman"/>
        </w:rPr>
        <w:t>(包括在骑缝处)</w:t>
      </w:r>
      <w:bookmarkEnd w:id="12"/>
      <w:r>
        <w:rPr>
          <w:rFonts w:hint="eastAsia" w:hAnsi="Times New Roman"/>
        </w:rPr>
        <w:t>后生效</w:t>
      </w:r>
      <w:bookmarkEnd w:id="11"/>
      <w:r>
        <w:rPr>
          <w:rFonts w:hint="eastAsia" w:hAnsi="Times New Roman"/>
        </w:rPr>
        <w:t>。本合同的变更必须由双方协商一致，以书面形式确定。上述文件一经签署，即具有法律效力并成为本合同的有效组成部分，与本合同具有同等法律效力。</w:t>
      </w:r>
    </w:p>
    <w:p w14:paraId="5C56ED68">
      <w:pPr>
        <w:pStyle w:val="19"/>
        <w:numPr>
          <w:ilvl w:val="0"/>
          <w:numId w:val="12"/>
        </w:numPr>
        <w:adjustRightInd w:val="0"/>
        <w:spacing w:line="360" w:lineRule="auto"/>
        <w:ind w:left="0" w:firstLine="420"/>
        <w:rPr>
          <w:rFonts w:hAnsi="Times New Roman"/>
        </w:rPr>
      </w:pPr>
      <w:r>
        <w:rPr>
          <w:rFonts w:hint="eastAsia" w:hAnsi="Times New Roman"/>
        </w:rPr>
        <w:t>最终用户：江苏大学附属医院</w:t>
      </w:r>
      <w:r>
        <w:rPr>
          <w:rFonts w:hAnsi="Times New Roman"/>
        </w:rPr>
        <w:t xml:space="preserve">                      </w:t>
      </w:r>
    </w:p>
    <w:p w14:paraId="0DDE93A3">
      <w:pPr>
        <w:spacing w:line="960" w:lineRule="auto"/>
        <w:ind w:left="5060" w:hanging="5045" w:hangingChars="1800"/>
        <w:rPr>
          <w:rFonts w:eastAsia="黑体"/>
          <w:b/>
          <w:sz w:val="24"/>
        </w:rPr>
      </w:pPr>
      <w:r>
        <w:rPr>
          <w:rFonts w:hint="eastAsia" w:eastAsia="黑体"/>
          <w:b/>
          <w:sz w:val="28"/>
        </w:rPr>
        <w:t>甲方：江苏大学附属医院</w:t>
      </w:r>
      <w:r>
        <w:rPr>
          <w:rFonts w:eastAsia="黑体"/>
          <w:b/>
          <w:sz w:val="28"/>
        </w:rPr>
        <w:t xml:space="preserve">      </w:t>
      </w:r>
      <w:r>
        <w:rPr>
          <w:rFonts w:hint="eastAsia" w:eastAsia="黑体"/>
          <w:b/>
          <w:sz w:val="28"/>
        </w:rPr>
        <w:t xml:space="preserve">      乙方： </w:t>
      </w:r>
    </w:p>
    <w:p w14:paraId="2ED29A6D">
      <w:pPr>
        <w:spacing w:line="960" w:lineRule="auto"/>
        <w:rPr>
          <w:rFonts w:eastAsia="黑体"/>
          <w:b/>
          <w:sz w:val="24"/>
        </w:rPr>
      </w:pPr>
      <w:r>
        <w:rPr>
          <w:rFonts w:hint="eastAsia" w:eastAsia="黑体"/>
          <w:b/>
          <w:sz w:val="24"/>
        </w:rPr>
        <w:t>甲方代表：</w:t>
      </w:r>
      <w:r>
        <w:rPr>
          <w:rFonts w:eastAsia="黑体"/>
          <w:b/>
          <w:sz w:val="24"/>
        </w:rPr>
        <w:t xml:space="preserve">                       </w:t>
      </w:r>
      <w:r>
        <w:rPr>
          <w:rFonts w:hint="eastAsia" w:eastAsia="黑体"/>
          <w:b/>
          <w:sz w:val="24"/>
        </w:rPr>
        <w:t xml:space="preserve">  </w:t>
      </w:r>
      <w:r>
        <w:rPr>
          <w:rFonts w:eastAsia="黑体"/>
          <w:b/>
          <w:sz w:val="24"/>
        </w:rPr>
        <w:t xml:space="preserve"> </w:t>
      </w:r>
      <w:r>
        <w:rPr>
          <w:rFonts w:hint="eastAsia" w:eastAsia="黑体"/>
          <w:b/>
          <w:sz w:val="24"/>
        </w:rPr>
        <w:t xml:space="preserve">   </w:t>
      </w:r>
      <w:r>
        <w:rPr>
          <w:rFonts w:eastAsia="黑体"/>
          <w:b/>
          <w:sz w:val="24"/>
        </w:rPr>
        <w:t xml:space="preserve"> </w:t>
      </w:r>
      <w:r>
        <w:rPr>
          <w:rFonts w:hint="eastAsia" w:eastAsia="黑体"/>
          <w:b/>
          <w:sz w:val="24"/>
        </w:rPr>
        <w:t>乙方代表：</w:t>
      </w:r>
    </w:p>
    <w:p w14:paraId="607B02A4">
      <w:pPr>
        <w:spacing w:line="960" w:lineRule="auto"/>
        <w:rPr>
          <w:rFonts w:eastAsia="黑体"/>
          <w:b/>
          <w:sz w:val="24"/>
        </w:rPr>
      </w:pPr>
      <w:r>
        <w:rPr>
          <w:rFonts w:hint="eastAsia" w:eastAsia="黑体"/>
          <w:b/>
          <w:sz w:val="24"/>
        </w:rPr>
        <w:t>日期：</w:t>
      </w:r>
      <w:r>
        <w:rPr>
          <w:rFonts w:eastAsia="黑体"/>
          <w:b/>
          <w:sz w:val="24"/>
        </w:rPr>
        <w:t xml:space="preserve">                            </w:t>
      </w:r>
      <w:r>
        <w:rPr>
          <w:rFonts w:hint="eastAsia" w:eastAsia="黑体"/>
          <w:b/>
          <w:sz w:val="24"/>
        </w:rPr>
        <w:t xml:space="preserve">     </w:t>
      </w:r>
      <w:r>
        <w:rPr>
          <w:rFonts w:eastAsia="黑体"/>
          <w:b/>
          <w:sz w:val="24"/>
        </w:rPr>
        <w:t xml:space="preserve"> </w:t>
      </w:r>
      <w:r>
        <w:rPr>
          <w:rFonts w:hint="eastAsia" w:eastAsia="黑体"/>
          <w:b/>
          <w:sz w:val="24"/>
        </w:rPr>
        <w:t>日期：</w:t>
      </w:r>
    </w:p>
    <w:p w14:paraId="6A212C83">
      <w:pPr>
        <w:tabs>
          <w:tab w:val="center" w:pos="4153"/>
        </w:tabs>
        <w:spacing w:line="360" w:lineRule="auto"/>
        <w:rPr>
          <w:rFonts w:hint="eastAsia" w:ascii="黑体" w:hAnsi="黑体" w:eastAsia="黑体" w:cs="黑体"/>
          <w:b/>
          <w:sz w:val="30"/>
          <w:szCs w:val="30"/>
        </w:rPr>
      </w:pPr>
      <w:r>
        <w:rPr>
          <w:rFonts w:hint="eastAsia" w:ascii="黑体" w:hAnsi="黑体" w:eastAsia="黑体" w:cs="黑体"/>
          <w:b/>
          <w:sz w:val="30"/>
          <w:szCs w:val="30"/>
        </w:rPr>
        <w:t>附件：</w:t>
      </w:r>
    </w:p>
    <w:p w14:paraId="7C31D41E">
      <w:pPr>
        <w:adjustRightInd w:val="0"/>
        <w:spacing w:line="360" w:lineRule="auto"/>
        <w:ind w:firstLine="420" w:firstLineChars="200"/>
      </w:pPr>
      <w:r>
        <w:rPr>
          <w:rFonts w:hint="eastAsia" w:hAnsi="Times New Roman"/>
        </w:rPr>
        <w:t>附本合同的具体实施条例及售后服务等内容。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8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S Mincho">
    <w:altName w:val="Hiragino Sans"/>
    <w:panose1 w:val="02020609040205080304"/>
    <w:charset w:val="80"/>
    <w:family w:val="roman"/>
    <w:pitch w:val="default"/>
    <w:sig w:usb0="00000000" w:usb1="00000000" w:usb2="00000012" w:usb3="00000000" w:csb0="4002009F" w:csb1="DFD7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方正仿宋_GBK">
    <w:panose1 w:val="03000509000000000000"/>
    <w:charset w:val="86"/>
    <w:family w:val="auto"/>
    <w:pitch w:val="default"/>
    <w:sig w:usb0="00000001" w:usb1="080E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2010600030101010101"/>
    <w:charset w:val="86"/>
    <w:family w:val="auto"/>
    <w:pitch w:val="default"/>
    <w:sig w:usb0="00000000" w:usb1="00000000" w:usb2="00000016" w:usb3="00000000" w:csb0="0004000F" w:csb1="00000000"/>
  </w:font>
  <w:font w:name="MS Gothic">
    <w:altName w:val="Hiragino Sans"/>
    <w:panose1 w:val="020B0609070205080204"/>
    <w:charset w:val="80"/>
    <w:family w:val="modern"/>
    <w:pitch w:val="default"/>
    <w:sig w:usb0="00000000" w:usb1="00000000" w:usb2="08000012" w:usb3="00000000" w:csb0="0002009F" w:csb1="00000000"/>
  </w:font>
  <w:font w:name="汉仪中等线KW">
    <w:panose1 w:val="01010104010101010101"/>
    <w:charset w:val="86"/>
    <w:family w:val="auto"/>
    <w:pitch w:val="default"/>
    <w:sig w:usb0="800002BF" w:usb1="004F7CFA"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BA09B"/>
    <w:multiLevelType w:val="singleLevel"/>
    <w:tmpl w:val="827BA09B"/>
    <w:lvl w:ilvl="0" w:tentative="0">
      <w:start w:val="1"/>
      <w:numFmt w:val="chineseCounting"/>
      <w:suff w:val="nothing"/>
      <w:lvlText w:val="%1、"/>
      <w:lvlJc w:val="left"/>
      <w:rPr>
        <w:rFonts w:hint="eastAsia" w:cs="Times New Roman"/>
      </w:rPr>
    </w:lvl>
  </w:abstractNum>
  <w:abstractNum w:abstractNumId="1">
    <w:nsid w:val="83FFBBE4"/>
    <w:multiLevelType w:val="singleLevel"/>
    <w:tmpl w:val="83FFBBE4"/>
    <w:lvl w:ilvl="0" w:tentative="0">
      <w:start w:val="1"/>
      <w:numFmt w:val="decimal"/>
      <w:lvlText w:val="%1."/>
      <w:lvlJc w:val="left"/>
      <w:pPr>
        <w:ind w:left="425" w:hanging="425"/>
      </w:pPr>
      <w:rPr>
        <w:rFonts w:hint="default"/>
      </w:rPr>
    </w:lvl>
  </w:abstractNum>
  <w:abstractNum w:abstractNumId="2">
    <w:nsid w:val="88BD6473"/>
    <w:multiLevelType w:val="singleLevel"/>
    <w:tmpl w:val="88BD6473"/>
    <w:lvl w:ilvl="0" w:tentative="0">
      <w:start w:val="1"/>
      <w:numFmt w:val="decimal"/>
      <w:lvlText w:val="%1."/>
      <w:lvlJc w:val="left"/>
      <w:pPr>
        <w:ind w:left="425" w:hanging="425"/>
      </w:pPr>
      <w:rPr>
        <w:rFonts w:hint="default"/>
      </w:rPr>
    </w:lvl>
  </w:abstractNum>
  <w:abstractNum w:abstractNumId="3">
    <w:nsid w:val="BFA430C7"/>
    <w:multiLevelType w:val="singleLevel"/>
    <w:tmpl w:val="BFA430C7"/>
    <w:lvl w:ilvl="0" w:tentative="0">
      <w:start w:val="1"/>
      <w:numFmt w:val="decimal"/>
      <w:suff w:val="nothing"/>
      <w:lvlText w:val="%1、"/>
      <w:lvlJc w:val="left"/>
      <w:rPr>
        <w:rFonts w:cs="Times New Roman"/>
      </w:rPr>
    </w:lvl>
  </w:abstractNum>
  <w:abstractNum w:abstractNumId="4">
    <w:nsid w:val="05165A99"/>
    <w:multiLevelType w:val="multilevel"/>
    <w:tmpl w:val="05165A99"/>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17ED25E4"/>
    <w:multiLevelType w:val="multilevel"/>
    <w:tmpl w:val="17ED25E4"/>
    <w:lvl w:ilvl="0" w:tentative="0">
      <w:start w:val="1"/>
      <w:numFmt w:val="decimal"/>
      <w:suff w:val="nothing"/>
      <w:lvlText w:val="(%1)"/>
      <w:lvlJc w:val="left"/>
      <w:pPr>
        <w:ind w:left="440" w:hanging="440"/>
      </w:pPr>
      <w:rPr>
        <w:rFonts w:hint="eastAsia"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305F6A14"/>
    <w:multiLevelType w:val="multilevel"/>
    <w:tmpl w:val="305F6A14"/>
    <w:lvl w:ilvl="0" w:tentative="0">
      <w:start w:val="1"/>
      <w:numFmt w:val="decimal"/>
      <w:suff w:val="nothing"/>
      <w:lvlText w:val="(%1)"/>
      <w:lvlJc w:val="left"/>
      <w:pPr>
        <w:ind w:left="440" w:hanging="440"/>
      </w:pPr>
      <w:rPr>
        <w:rFonts w:hint="eastAsia"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5498198D"/>
    <w:multiLevelType w:val="multilevel"/>
    <w:tmpl w:val="5498198D"/>
    <w:lvl w:ilvl="0" w:tentative="0">
      <w:start w:val="1"/>
      <w:numFmt w:val="decimal"/>
      <w:suff w:val="nothing"/>
      <w:lvlText w:val="(%1)"/>
      <w:lvlJc w:val="left"/>
      <w:pPr>
        <w:ind w:left="440" w:hanging="440"/>
      </w:pPr>
      <w:rPr>
        <w:rFonts w:hint="eastAsia"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56CD421D"/>
    <w:multiLevelType w:val="singleLevel"/>
    <w:tmpl w:val="56CD421D"/>
    <w:lvl w:ilvl="0" w:tentative="0">
      <w:start w:val="1"/>
      <w:numFmt w:val="decimal"/>
      <w:suff w:val="nothing"/>
      <w:lvlText w:val="（%1）"/>
      <w:lvlJc w:val="left"/>
    </w:lvl>
  </w:abstractNum>
  <w:abstractNum w:abstractNumId="9">
    <w:nsid w:val="73CD3DB3"/>
    <w:multiLevelType w:val="multilevel"/>
    <w:tmpl w:val="73CD3DB3"/>
    <w:lvl w:ilvl="0" w:tentative="0">
      <w:start w:val="1"/>
      <w:numFmt w:val="decimal"/>
      <w:suff w:val="nothing"/>
      <w:lvlText w:val="(%1)"/>
      <w:lvlJc w:val="left"/>
      <w:pPr>
        <w:ind w:left="440" w:hanging="440"/>
      </w:pPr>
      <w:rPr>
        <w:rFonts w:hint="eastAsia" w:cs="Times New Roman"/>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78854F50"/>
    <w:multiLevelType w:val="multilevel"/>
    <w:tmpl w:val="78854F50"/>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C192BBF"/>
    <w:multiLevelType w:val="multilevel"/>
    <w:tmpl w:val="7C192BBF"/>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2"/>
  </w:num>
  <w:num w:numId="2">
    <w:abstractNumId w:val="1"/>
  </w:num>
  <w:num w:numId="3">
    <w:abstractNumId w:val="8"/>
  </w:num>
  <w:num w:numId="4">
    <w:abstractNumId w:val="0"/>
  </w:num>
  <w:num w:numId="5">
    <w:abstractNumId w:val="9"/>
  </w:num>
  <w:num w:numId="6">
    <w:abstractNumId w:val="6"/>
  </w:num>
  <w:num w:numId="7">
    <w:abstractNumId w:val="5"/>
  </w:num>
  <w:num w:numId="8">
    <w:abstractNumId w:val="7"/>
  </w:num>
  <w:num w:numId="9">
    <w:abstractNumId w:val="3"/>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NTBkZDQ4N2VmNTAwY2U2MGQ5MzRjNzFhNGU3MGIifQ=="/>
  </w:docVars>
  <w:rsids>
    <w:rsidRoot w:val="06543448"/>
    <w:rsid w:val="00014AD9"/>
    <w:rsid w:val="00021D6B"/>
    <w:rsid w:val="00023630"/>
    <w:rsid w:val="000323A5"/>
    <w:rsid w:val="00047B5C"/>
    <w:rsid w:val="00060482"/>
    <w:rsid w:val="00062588"/>
    <w:rsid w:val="00062C58"/>
    <w:rsid w:val="000758F1"/>
    <w:rsid w:val="00075EE9"/>
    <w:rsid w:val="000825A3"/>
    <w:rsid w:val="00084943"/>
    <w:rsid w:val="00086438"/>
    <w:rsid w:val="00092008"/>
    <w:rsid w:val="0009400E"/>
    <w:rsid w:val="00095F72"/>
    <w:rsid w:val="000979CE"/>
    <w:rsid w:val="000A0A5A"/>
    <w:rsid w:val="000A1147"/>
    <w:rsid w:val="000A186D"/>
    <w:rsid w:val="000A58D0"/>
    <w:rsid w:val="000A7ABE"/>
    <w:rsid w:val="000B2BAF"/>
    <w:rsid w:val="000B4D42"/>
    <w:rsid w:val="000C2B3B"/>
    <w:rsid w:val="000D1A5C"/>
    <w:rsid w:val="000E760D"/>
    <w:rsid w:val="000F0B63"/>
    <w:rsid w:val="000F7212"/>
    <w:rsid w:val="00111DE4"/>
    <w:rsid w:val="00112C05"/>
    <w:rsid w:val="001139B1"/>
    <w:rsid w:val="0011483F"/>
    <w:rsid w:val="001225B2"/>
    <w:rsid w:val="0012494A"/>
    <w:rsid w:val="00126623"/>
    <w:rsid w:val="00126E1D"/>
    <w:rsid w:val="0013429A"/>
    <w:rsid w:val="001440DF"/>
    <w:rsid w:val="00151347"/>
    <w:rsid w:val="00155CFE"/>
    <w:rsid w:val="001648A6"/>
    <w:rsid w:val="00174B29"/>
    <w:rsid w:val="0018354B"/>
    <w:rsid w:val="00193561"/>
    <w:rsid w:val="001939F8"/>
    <w:rsid w:val="00197462"/>
    <w:rsid w:val="001C1840"/>
    <w:rsid w:val="001C6D02"/>
    <w:rsid w:val="001E21AF"/>
    <w:rsid w:val="001E6C82"/>
    <w:rsid w:val="001E7B6F"/>
    <w:rsid w:val="001F3DF8"/>
    <w:rsid w:val="0020514E"/>
    <w:rsid w:val="00207483"/>
    <w:rsid w:val="002165C5"/>
    <w:rsid w:val="002165F2"/>
    <w:rsid w:val="00220623"/>
    <w:rsid w:val="00223438"/>
    <w:rsid w:val="00245F74"/>
    <w:rsid w:val="0025367D"/>
    <w:rsid w:val="00254870"/>
    <w:rsid w:val="0025490F"/>
    <w:rsid w:val="00257442"/>
    <w:rsid w:val="002616E9"/>
    <w:rsid w:val="00263F4C"/>
    <w:rsid w:val="00272109"/>
    <w:rsid w:val="00281034"/>
    <w:rsid w:val="002A606D"/>
    <w:rsid w:val="002B03D5"/>
    <w:rsid w:val="002B7857"/>
    <w:rsid w:val="002E2034"/>
    <w:rsid w:val="002F61A4"/>
    <w:rsid w:val="002F69B7"/>
    <w:rsid w:val="003132CF"/>
    <w:rsid w:val="0032394D"/>
    <w:rsid w:val="003352C2"/>
    <w:rsid w:val="00335888"/>
    <w:rsid w:val="003364DC"/>
    <w:rsid w:val="00345161"/>
    <w:rsid w:val="0036283A"/>
    <w:rsid w:val="0037616E"/>
    <w:rsid w:val="00384704"/>
    <w:rsid w:val="0039124A"/>
    <w:rsid w:val="00395945"/>
    <w:rsid w:val="003C282F"/>
    <w:rsid w:val="003D6E41"/>
    <w:rsid w:val="003E46D9"/>
    <w:rsid w:val="003E4818"/>
    <w:rsid w:val="003F1741"/>
    <w:rsid w:val="00405F30"/>
    <w:rsid w:val="00407E03"/>
    <w:rsid w:val="00414913"/>
    <w:rsid w:val="0044066C"/>
    <w:rsid w:val="00443CCB"/>
    <w:rsid w:val="00445AC3"/>
    <w:rsid w:val="00446BAE"/>
    <w:rsid w:val="004552D8"/>
    <w:rsid w:val="0047280C"/>
    <w:rsid w:val="00483734"/>
    <w:rsid w:val="00484286"/>
    <w:rsid w:val="00484B47"/>
    <w:rsid w:val="004A2B4F"/>
    <w:rsid w:val="004A6BF7"/>
    <w:rsid w:val="004B0629"/>
    <w:rsid w:val="004F4572"/>
    <w:rsid w:val="00510203"/>
    <w:rsid w:val="00517F1D"/>
    <w:rsid w:val="00524A8C"/>
    <w:rsid w:val="005275A4"/>
    <w:rsid w:val="00544910"/>
    <w:rsid w:val="00553BBB"/>
    <w:rsid w:val="005554D3"/>
    <w:rsid w:val="005574F6"/>
    <w:rsid w:val="0056671C"/>
    <w:rsid w:val="005670AA"/>
    <w:rsid w:val="005713A8"/>
    <w:rsid w:val="005812C1"/>
    <w:rsid w:val="0058389E"/>
    <w:rsid w:val="005907FE"/>
    <w:rsid w:val="005A2496"/>
    <w:rsid w:val="005A2A77"/>
    <w:rsid w:val="005C7ABE"/>
    <w:rsid w:val="005F1321"/>
    <w:rsid w:val="00602E69"/>
    <w:rsid w:val="00603217"/>
    <w:rsid w:val="00611DEE"/>
    <w:rsid w:val="00614F8A"/>
    <w:rsid w:val="00626F2E"/>
    <w:rsid w:val="00642EE1"/>
    <w:rsid w:val="00671834"/>
    <w:rsid w:val="00675AF7"/>
    <w:rsid w:val="006C1A20"/>
    <w:rsid w:val="006F241D"/>
    <w:rsid w:val="00711BE9"/>
    <w:rsid w:val="0072437C"/>
    <w:rsid w:val="00731991"/>
    <w:rsid w:val="00743841"/>
    <w:rsid w:val="00754BD3"/>
    <w:rsid w:val="007A235F"/>
    <w:rsid w:val="007A78E7"/>
    <w:rsid w:val="007B10D4"/>
    <w:rsid w:val="007B6C7F"/>
    <w:rsid w:val="007C1DF6"/>
    <w:rsid w:val="007C2BEC"/>
    <w:rsid w:val="007D257A"/>
    <w:rsid w:val="007D763D"/>
    <w:rsid w:val="007E3192"/>
    <w:rsid w:val="007E4FCF"/>
    <w:rsid w:val="007F28E0"/>
    <w:rsid w:val="0080220B"/>
    <w:rsid w:val="008144CA"/>
    <w:rsid w:val="00821545"/>
    <w:rsid w:val="00822A29"/>
    <w:rsid w:val="00822CB0"/>
    <w:rsid w:val="00864D2D"/>
    <w:rsid w:val="00867984"/>
    <w:rsid w:val="00883C15"/>
    <w:rsid w:val="008863C5"/>
    <w:rsid w:val="00897BD1"/>
    <w:rsid w:val="008B2B20"/>
    <w:rsid w:val="008B427C"/>
    <w:rsid w:val="008C34A0"/>
    <w:rsid w:val="008C65F2"/>
    <w:rsid w:val="008D2794"/>
    <w:rsid w:val="008E59CF"/>
    <w:rsid w:val="008F4093"/>
    <w:rsid w:val="009005F2"/>
    <w:rsid w:val="00923FDF"/>
    <w:rsid w:val="00934AC0"/>
    <w:rsid w:val="009543BC"/>
    <w:rsid w:val="00961233"/>
    <w:rsid w:val="00971917"/>
    <w:rsid w:val="009839F7"/>
    <w:rsid w:val="00991086"/>
    <w:rsid w:val="00992374"/>
    <w:rsid w:val="009A59F1"/>
    <w:rsid w:val="009B2925"/>
    <w:rsid w:val="009B6914"/>
    <w:rsid w:val="009C4F9C"/>
    <w:rsid w:val="009C56B5"/>
    <w:rsid w:val="009C70E6"/>
    <w:rsid w:val="009E31AE"/>
    <w:rsid w:val="009E3F13"/>
    <w:rsid w:val="009E59DC"/>
    <w:rsid w:val="009F2E12"/>
    <w:rsid w:val="00A23285"/>
    <w:rsid w:val="00A41D50"/>
    <w:rsid w:val="00A41ED7"/>
    <w:rsid w:val="00A42EAF"/>
    <w:rsid w:val="00A4636E"/>
    <w:rsid w:val="00A66677"/>
    <w:rsid w:val="00A674B8"/>
    <w:rsid w:val="00A75B1D"/>
    <w:rsid w:val="00A90F8A"/>
    <w:rsid w:val="00AA298A"/>
    <w:rsid w:val="00AA4E5A"/>
    <w:rsid w:val="00AB412A"/>
    <w:rsid w:val="00AD4522"/>
    <w:rsid w:val="00AE5AAF"/>
    <w:rsid w:val="00AF294F"/>
    <w:rsid w:val="00B0451E"/>
    <w:rsid w:val="00B369C9"/>
    <w:rsid w:val="00B401E0"/>
    <w:rsid w:val="00B451AA"/>
    <w:rsid w:val="00B47453"/>
    <w:rsid w:val="00B47E0A"/>
    <w:rsid w:val="00B543F2"/>
    <w:rsid w:val="00B57E7D"/>
    <w:rsid w:val="00B80ECB"/>
    <w:rsid w:val="00B953E9"/>
    <w:rsid w:val="00BA24C5"/>
    <w:rsid w:val="00BA69A1"/>
    <w:rsid w:val="00BB3C94"/>
    <w:rsid w:val="00BB445A"/>
    <w:rsid w:val="00BC56A7"/>
    <w:rsid w:val="00BC6579"/>
    <w:rsid w:val="00BD66E4"/>
    <w:rsid w:val="00C02295"/>
    <w:rsid w:val="00C040A3"/>
    <w:rsid w:val="00C11A27"/>
    <w:rsid w:val="00C17E87"/>
    <w:rsid w:val="00C20E63"/>
    <w:rsid w:val="00C30CEE"/>
    <w:rsid w:val="00C50B14"/>
    <w:rsid w:val="00C52D35"/>
    <w:rsid w:val="00C54CDC"/>
    <w:rsid w:val="00C623C0"/>
    <w:rsid w:val="00C91015"/>
    <w:rsid w:val="00C920F6"/>
    <w:rsid w:val="00CA44EB"/>
    <w:rsid w:val="00CA600C"/>
    <w:rsid w:val="00CC43A9"/>
    <w:rsid w:val="00CE1A88"/>
    <w:rsid w:val="00CE5849"/>
    <w:rsid w:val="00CF23E3"/>
    <w:rsid w:val="00CF7D81"/>
    <w:rsid w:val="00D1766F"/>
    <w:rsid w:val="00D24D0F"/>
    <w:rsid w:val="00D350F5"/>
    <w:rsid w:val="00D42893"/>
    <w:rsid w:val="00D4485D"/>
    <w:rsid w:val="00D44A77"/>
    <w:rsid w:val="00D46D69"/>
    <w:rsid w:val="00D63C7D"/>
    <w:rsid w:val="00D72A43"/>
    <w:rsid w:val="00D81A31"/>
    <w:rsid w:val="00D91419"/>
    <w:rsid w:val="00DA20BD"/>
    <w:rsid w:val="00DA318A"/>
    <w:rsid w:val="00DA3643"/>
    <w:rsid w:val="00DB2158"/>
    <w:rsid w:val="00DB348C"/>
    <w:rsid w:val="00DE6630"/>
    <w:rsid w:val="00DF5E42"/>
    <w:rsid w:val="00E14FF0"/>
    <w:rsid w:val="00E236CE"/>
    <w:rsid w:val="00E31584"/>
    <w:rsid w:val="00E31D01"/>
    <w:rsid w:val="00E502C4"/>
    <w:rsid w:val="00E51664"/>
    <w:rsid w:val="00E51D72"/>
    <w:rsid w:val="00E528E6"/>
    <w:rsid w:val="00E8608F"/>
    <w:rsid w:val="00E87A9E"/>
    <w:rsid w:val="00EB17F3"/>
    <w:rsid w:val="00EB7968"/>
    <w:rsid w:val="00F009DC"/>
    <w:rsid w:val="00F0174F"/>
    <w:rsid w:val="00F03B99"/>
    <w:rsid w:val="00F07287"/>
    <w:rsid w:val="00F33D99"/>
    <w:rsid w:val="00F34F7B"/>
    <w:rsid w:val="00F3697F"/>
    <w:rsid w:val="00F46629"/>
    <w:rsid w:val="00F57CFA"/>
    <w:rsid w:val="00F62A85"/>
    <w:rsid w:val="00F74DAB"/>
    <w:rsid w:val="00F818F9"/>
    <w:rsid w:val="00FA1BAB"/>
    <w:rsid w:val="00FC4229"/>
    <w:rsid w:val="00FC5D77"/>
    <w:rsid w:val="00FD3DA3"/>
    <w:rsid w:val="00FE129F"/>
    <w:rsid w:val="00FF3F9D"/>
    <w:rsid w:val="06543448"/>
    <w:rsid w:val="16D63B17"/>
    <w:rsid w:val="348146F9"/>
    <w:rsid w:val="4EBF10D2"/>
    <w:rsid w:val="661B64FC"/>
    <w:rsid w:val="791C7D3B"/>
    <w:rsid w:val="799D193E"/>
    <w:rsid w:val="7ADC404B"/>
    <w:rsid w:val="FFDF29F6"/>
    <w:rsid w:val="FFFD74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3"/>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4"/>
    <w:qFormat/>
    <w:uiPriority w:val="0"/>
    <w:pPr>
      <w:keepNext/>
      <w:keepLines/>
      <w:spacing w:before="260" w:after="260" w:line="416" w:lineRule="auto"/>
      <w:outlineLvl w:val="2"/>
    </w:pPr>
    <w:rPr>
      <w:rFonts w:ascii="Calibri" w:hAnsi="Calibri"/>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6">
    <w:name w:val="Document Map"/>
    <w:basedOn w:val="1"/>
    <w:link w:val="27"/>
    <w:semiHidden/>
    <w:unhideWhenUsed/>
    <w:qFormat/>
    <w:uiPriority w:val="0"/>
    <w:rPr>
      <w:rFonts w:ascii="宋体"/>
      <w:sz w:val="24"/>
    </w:rPr>
  </w:style>
  <w:style w:type="paragraph" w:styleId="7">
    <w:name w:val="Body Text"/>
    <w:basedOn w:val="1"/>
    <w:link w:val="25"/>
    <w:qFormat/>
    <w:uiPriority w:val="0"/>
    <w:rPr>
      <w:rFonts w:ascii="仿宋_GB2312" w:hAnsi="宋体" w:eastAsia="仿宋_GB2312" w:cs="仿宋_GB2312"/>
      <w:kern w:val="0"/>
      <w:sz w:val="24"/>
    </w:rPr>
  </w:style>
  <w:style w:type="paragraph" w:styleId="8">
    <w:name w:val="Block Text"/>
    <w:basedOn w:val="1"/>
    <w:next w:val="1"/>
    <w:unhideWhenUsed/>
    <w:qFormat/>
    <w:uiPriority w:val="99"/>
    <w:pPr>
      <w:spacing w:after="120"/>
      <w:ind w:left="1440" w:leftChars="700" w:right="1440" w:rightChars="700"/>
    </w:pPr>
    <w:rPr>
      <w:szCs w:val="22"/>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Balloon Text"/>
    <w:basedOn w:val="1"/>
    <w:link w:val="20"/>
    <w:qFormat/>
    <w:uiPriority w:val="0"/>
    <w:rPr>
      <w:sz w:val="18"/>
      <w:szCs w:val="18"/>
    </w:rPr>
  </w:style>
  <w:style w:type="paragraph" w:styleId="11">
    <w:name w:val="footer"/>
    <w:basedOn w:val="1"/>
    <w:link w:val="18"/>
    <w:qFormat/>
    <w:uiPriority w:val="0"/>
    <w:pPr>
      <w:tabs>
        <w:tab w:val="center" w:pos="4153"/>
        <w:tab w:val="right" w:pos="8306"/>
      </w:tabs>
      <w:snapToGrid w:val="0"/>
      <w:jc w:val="left"/>
    </w:pPr>
    <w:rPr>
      <w:sz w:val="18"/>
      <w:szCs w:val="18"/>
    </w:rPr>
  </w:style>
  <w:style w:type="paragraph" w:styleId="12">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uiPriority w:val="99"/>
    <w:pPr>
      <w:widowControl/>
      <w:spacing w:before="100" w:beforeAutospacing="1" w:after="100" w:afterAutospacing="1"/>
      <w:ind w:left="601" w:hanging="60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页眉字符"/>
    <w:basedOn w:val="16"/>
    <w:link w:val="12"/>
    <w:qFormat/>
    <w:uiPriority w:val="0"/>
    <w:rPr>
      <w:rFonts w:ascii="Times New Roman" w:hAnsi="Times New Roman" w:eastAsia="宋体" w:cs="Times New Roman"/>
      <w:kern w:val="2"/>
      <w:sz w:val="18"/>
      <w:szCs w:val="18"/>
    </w:rPr>
  </w:style>
  <w:style w:type="character" w:customStyle="1" w:styleId="18">
    <w:name w:val="页脚字符"/>
    <w:basedOn w:val="16"/>
    <w:link w:val="11"/>
    <w:qFormat/>
    <w:uiPriority w:val="0"/>
    <w:rPr>
      <w:rFonts w:ascii="Times New Roman" w:hAnsi="Times New Roman" w:eastAsia="宋体" w:cs="Times New Roman"/>
      <w:kern w:val="2"/>
      <w:sz w:val="18"/>
      <w:szCs w:val="18"/>
    </w:rPr>
  </w:style>
  <w:style w:type="paragraph" w:styleId="19">
    <w:name w:val="List Paragraph"/>
    <w:basedOn w:val="1"/>
    <w:unhideWhenUsed/>
    <w:qFormat/>
    <w:uiPriority w:val="99"/>
    <w:pPr>
      <w:ind w:firstLine="420" w:firstLineChars="200"/>
    </w:pPr>
  </w:style>
  <w:style w:type="character" w:customStyle="1" w:styleId="20">
    <w:name w:val="批注框文本字符"/>
    <w:basedOn w:val="16"/>
    <w:link w:val="10"/>
    <w:qFormat/>
    <w:uiPriority w:val="0"/>
    <w:rPr>
      <w:rFonts w:ascii="Times New Roman" w:hAnsi="Times New Roman" w:eastAsia="宋体" w:cs="Times New Roman"/>
      <w:kern w:val="2"/>
      <w:sz w:val="18"/>
      <w:szCs w:val="18"/>
    </w:rPr>
  </w:style>
  <w:style w:type="character" w:customStyle="1" w:styleId="21">
    <w:name w:val="font21"/>
    <w:basedOn w:val="16"/>
    <w:qFormat/>
    <w:uiPriority w:val="0"/>
    <w:rPr>
      <w:rFonts w:hint="eastAsia" w:ascii="宋体" w:hAnsi="宋体" w:eastAsia="宋体" w:cs="宋体"/>
      <w:color w:val="000000"/>
      <w:sz w:val="21"/>
      <w:szCs w:val="21"/>
      <w:u w:val="none"/>
    </w:rPr>
  </w:style>
  <w:style w:type="character" w:customStyle="1" w:styleId="22">
    <w:name w:val="aqe0zv89f31"/>
    <w:basedOn w:val="16"/>
    <w:qFormat/>
    <w:uiPriority w:val="0"/>
  </w:style>
  <w:style w:type="character" w:customStyle="1" w:styleId="23">
    <w:name w:val="标题 2字符"/>
    <w:basedOn w:val="16"/>
    <w:link w:val="4"/>
    <w:qFormat/>
    <w:uiPriority w:val="0"/>
    <w:rPr>
      <w:rFonts w:ascii="Cambria" w:hAnsi="Cambria" w:eastAsia="宋体" w:cs="Times New Roman"/>
      <w:b/>
      <w:bCs/>
      <w:sz w:val="32"/>
      <w:szCs w:val="32"/>
    </w:rPr>
  </w:style>
  <w:style w:type="character" w:customStyle="1" w:styleId="24">
    <w:name w:val="标题 3字符"/>
    <w:basedOn w:val="16"/>
    <w:link w:val="5"/>
    <w:qFormat/>
    <w:uiPriority w:val="0"/>
    <w:rPr>
      <w:rFonts w:ascii="Calibri" w:hAnsi="Calibri" w:eastAsia="宋体" w:cs="Times New Roman"/>
      <w:b/>
      <w:bCs/>
      <w:sz w:val="32"/>
      <w:szCs w:val="32"/>
    </w:rPr>
  </w:style>
  <w:style w:type="character" w:customStyle="1" w:styleId="25">
    <w:name w:val="正文文本字符"/>
    <w:link w:val="7"/>
    <w:qFormat/>
    <w:uiPriority w:val="0"/>
    <w:rPr>
      <w:rFonts w:ascii="仿宋_GB2312" w:hAnsi="宋体" w:eastAsia="仿宋_GB2312" w:cs="仿宋_GB2312"/>
      <w:sz w:val="24"/>
      <w:szCs w:val="24"/>
    </w:rPr>
  </w:style>
  <w:style w:type="character" w:customStyle="1" w:styleId="26">
    <w:name w:val="正文文本 Char1"/>
    <w:basedOn w:val="16"/>
    <w:qFormat/>
    <w:uiPriority w:val="0"/>
    <w:rPr>
      <w:rFonts w:ascii="Times New Roman" w:hAnsi="Times New Roman" w:eastAsia="宋体" w:cs="Times New Roman"/>
      <w:kern w:val="2"/>
      <w:sz w:val="21"/>
      <w:szCs w:val="24"/>
    </w:rPr>
  </w:style>
  <w:style w:type="character" w:customStyle="1" w:styleId="27">
    <w:name w:val="文档结构图字符"/>
    <w:basedOn w:val="16"/>
    <w:link w:val="6"/>
    <w:semiHidden/>
    <w:qFormat/>
    <w:uiPriority w:val="0"/>
    <w:rPr>
      <w:rFonts w:ascii="宋体" w:hAnsi="Times New Roman" w:eastAsia="宋体" w:cs="Times New Roman"/>
      <w:kern w:val="2"/>
      <w:sz w:val="24"/>
      <w:szCs w:val="24"/>
    </w:rPr>
  </w:style>
  <w:style w:type="paragraph" w:customStyle="1" w:styleId="28">
    <w:name w:val="Default"/>
    <w:qFormat/>
    <w:uiPriority w:val="0"/>
    <w:pPr>
      <w:widowControl w:val="0"/>
      <w:autoSpaceDE w:val="0"/>
      <w:autoSpaceDN w:val="0"/>
      <w:adjustRightInd w:val="0"/>
    </w:pPr>
    <w:rPr>
      <w:rFonts w:ascii="等线" w:hAnsi="等线" w:eastAsia="等线"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2243</Words>
  <Characters>2405</Characters>
  <Lines>18</Lines>
  <Paragraphs>5</Paragraphs>
  <TotalTime>0</TotalTime>
  <ScaleCrop>false</ScaleCrop>
  <LinksUpToDate>false</LinksUpToDate>
  <CharactersWithSpaces>2964</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2024-06-03T10:09:00Z</dcterms:created>
  <dc:creator>Administrator</dc:creator>
  <cp:lastModifiedBy>MPGD</cp:lastModifiedBy>
  <cp:lastPrinted>2024-05-17T16:36:00Z</cp:lastPrinted>
  <dcterms:modified xsi:type="dcterms:W3CDTF">2026-06-11T10:42:19Z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514232A1726B4DAFADA5275085AD8370</vt:lpwstr>
  </property>
</Properties>
</file>