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5C" w:rsidRDefault="002A3AD4">
      <w:pPr>
        <w:spacing w:line="360" w:lineRule="auto"/>
        <w:jc w:val="left"/>
        <w:rPr>
          <w:rFonts w:ascii="黑体" w:eastAsia="黑体" w:hAnsi="黑体"/>
          <w:sz w:val="24"/>
        </w:rPr>
      </w:pPr>
      <w:r>
        <w:rPr>
          <w:rFonts w:ascii="黑体" w:eastAsia="黑体" w:hAnsi="黑体" w:hint="eastAsia"/>
          <w:sz w:val="24"/>
        </w:rPr>
        <w:t>附件一</w:t>
      </w:r>
    </w:p>
    <w:p w:rsidR="00DB4F5C" w:rsidRDefault="002A3AD4">
      <w:pPr>
        <w:spacing w:line="360" w:lineRule="auto"/>
        <w:ind w:left="140" w:hangingChars="50" w:hanging="140"/>
        <w:jc w:val="center"/>
        <w:rPr>
          <w:rFonts w:ascii="黑体" w:eastAsia="黑体" w:hAnsi="黑体"/>
          <w:sz w:val="28"/>
          <w:szCs w:val="28"/>
        </w:rPr>
      </w:pPr>
      <w:r>
        <w:rPr>
          <w:rFonts w:ascii="黑体" w:eastAsia="黑体" w:hAnsi="黑体" w:hint="eastAsia"/>
          <w:sz w:val="28"/>
          <w:szCs w:val="28"/>
        </w:rPr>
        <w:t>采购需求书</w:t>
      </w:r>
    </w:p>
    <w:p w:rsidR="00DB4F5C" w:rsidRDefault="002A3AD4">
      <w:pPr>
        <w:spacing w:line="360" w:lineRule="auto"/>
        <w:ind w:left="413"/>
        <w:outlineLvl w:val="0"/>
        <w:rPr>
          <w:rFonts w:ascii="宋体" w:hAnsi="宋体"/>
          <w:b/>
        </w:rPr>
      </w:pPr>
      <w:r>
        <w:rPr>
          <w:rFonts w:ascii="宋体" w:hAnsi="宋体" w:hint="eastAsia"/>
          <w:b/>
        </w:rPr>
        <w:t>一、项目概况及总体要求</w:t>
      </w:r>
    </w:p>
    <w:p w:rsidR="00DB4F5C" w:rsidRDefault="002A3AD4">
      <w:pPr>
        <w:spacing w:line="360" w:lineRule="auto"/>
        <w:ind w:left="413"/>
        <w:outlineLvl w:val="0"/>
        <w:rPr>
          <w:rFonts w:ascii="宋体" w:hAnsi="宋体"/>
        </w:rPr>
      </w:pPr>
      <w:r>
        <w:rPr>
          <w:rFonts w:ascii="宋体" w:hAnsi="宋体" w:hint="eastAsia"/>
        </w:rPr>
        <w:t>（包括项目立项依据、采购预算（最高限价）及编制依据、总体要求等）</w:t>
      </w:r>
    </w:p>
    <w:p w:rsidR="00DB4F5C" w:rsidRPr="00E232C5" w:rsidRDefault="00001F85" w:rsidP="00001F85">
      <w:pPr>
        <w:spacing w:line="360" w:lineRule="auto"/>
        <w:ind w:left="413" w:firstLineChars="200" w:firstLine="480"/>
        <w:outlineLvl w:val="0"/>
        <w:rPr>
          <w:rFonts w:ascii="仿宋" w:eastAsia="仿宋" w:hAnsi="仿宋" w:cs="仿宋"/>
          <w:color w:val="000000" w:themeColor="text1"/>
          <w:sz w:val="24"/>
        </w:rPr>
      </w:pPr>
      <w:r>
        <w:rPr>
          <w:rFonts w:ascii="仿宋" w:eastAsia="仿宋" w:hAnsi="仿宋" w:cs="仿宋" w:hint="eastAsia"/>
          <w:sz w:val="24"/>
        </w:rPr>
        <w:t>我院目前没有此设备，该设备</w:t>
      </w:r>
      <w:r w:rsidRPr="00001F85">
        <w:rPr>
          <w:rFonts w:ascii="仿宋" w:eastAsia="仿宋" w:hAnsi="仿宋" w:cs="仿宋" w:hint="eastAsia"/>
          <w:sz w:val="24"/>
        </w:rPr>
        <w:t>用于产后或妇科术后的盆底康复以及盆底脱垂治疗，通过磁刺激拓宽我院盆底病种治疗范围，而且磁刺激相比电刺激没有一次性耗材，使用成本</w:t>
      </w:r>
      <w:r>
        <w:rPr>
          <w:rFonts w:ascii="仿宋" w:eastAsia="仿宋" w:hAnsi="仿宋" w:cs="仿宋" w:hint="eastAsia"/>
          <w:sz w:val="24"/>
        </w:rPr>
        <w:t>更低</w:t>
      </w:r>
      <w:r w:rsidRPr="00001F85">
        <w:rPr>
          <w:rFonts w:ascii="仿宋" w:eastAsia="仿宋" w:hAnsi="仿宋" w:cs="仿宋" w:hint="eastAsia"/>
          <w:sz w:val="24"/>
        </w:rPr>
        <w:t>。另外妇科也同意共用该设备，避免重复采购。</w:t>
      </w:r>
      <w:r w:rsidR="00713F56">
        <w:rPr>
          <w:rFonts w:ascii="仿宋" w:eastAsia="仿宋" w:hAnsi="仿宋" w:cs="仿宋" w:hint="eastAsia"/>
          <w:sz w:val="24"/>
        </w:rPr>
        <w:t>此</w:t>
      </w:r>
      <w:r w:rsidR="00713F56" w:rsidRPr="00E232C5">
        <w:rPr>
          <w:rFonts w:ascii="仿宋" w:eastAsia="仿宋" w:hAnsi="仿宋" w:cs="仿宋" w:hint="eastAsia"/>
          <w:color w:val="000000" w:themeColor="text1"/>
          <w:sz w:val="24"/>
        </w:rPr>
        <w:t>项目</w:t>
      </w:r>
      <w:r w:rsidR="00181BDC">
        <w:rPr>
          <w:rFonts w:ascii="仿宋" w:eastAsia="仿宋" w:hAnsi="仿宋" w:cs="仿宋" w:hint="eastAsia"/>
          <w:color w:val="000000" w:themeColor="text1"/>
          <w:sz w:val="24"/>
        </w:rPr>
        <w:t>的采购</w:t>
      </w:r>
      <w:r w:rsidR="00713F56" w:rsidRPr="00E232C5">
        <w:rPr>
          <w:rFonts w:ascii="仿宋" w:eastAsia="仿宋" w:hAnsi="仿宋" w:cs="仿宋" w:hint="eastAsia"/>
          <w:color w:val="000000" w:themeColor="text1"/>
          <w:sz w:val="24"/>
        </w:rPr>
        <w:t>预算</w:t>
      </w:r>
      <w:r w:rsidR="00713F56">
        <w:rPr>
          <w:rFonts w:ascii="仿宋" w:eastAsia="仿宋" w:hAnsi="仿宋" w:cs="仿宋" w:hint="eastAsia"/>
          <w:color w:val="000000" w:themeColor="text1"/>
          <w:sz w:val="24"/>
        </w:rPr>
        <w:t>是</w:t>
      </w:r>
      <w:r>
        <w:rPr>
          <w:rFonts w:ascii="仿宋" w:eastAsia="仿宋" w:hAnsi="仿宋" w:cs="仿宋" w:hint="eastAsia"/>
          <w:color w:val="000000" w:themeColor="text1"/>
          <w:sz w:val="24"/>
        </w:rPr>
        <w:t>27</w:t>
      </w:r>
      <w:r w:rsidR="00713F56">
        <w:rPr>
          <w:rFonts w:ascii="仿宋" w:eastAsia="仿宋" w:hAnsi="仿宋" w:cs="仿宋" w:hint="eastAsia"/>
          <w:color w:val="000000" w:themeColor="text1"/>
          <w:sz w:val="24"/>
        </w:rPr>
        <w:t>万</w:t>
      </w:r>
      <w:r w:rsidR="00181BDC">
        <w:rPr>
          <w:rFonts w:ascii="仿宋" w:eastAsia="仿宋" w:hAnsi="仿宋" w:cs="仿宋" w:hint="eastAsia"/>
          <w:color w:val="000000" w:themeColor="text1"/>
          <w:sz w:val="24"/>
        </w:rPr>
        <w:t>。</w:t>
      </w:r>
    </w:p>
    <w:p w:rsidR="004C00AA" w:rsidRPr="00E232C5" w:rsidRDefault="004C00AA">
      <w:pPr>
        <w:spacing w:line="360" w:lineRule="auto"/>
        <w:ind w:left="413"/>
        <w:outlineLvl w:val="0"/>
        <w:rPr>
          <w:rFonts w:ascii="宋体" w:hAnsi="宋体"/>
          <w:b/>
        </w:rPr>
      </w:pPr>
    </w:p>
    <w:p w:rsidR="00DB4F5C" w:rsidRDefault="002A3AD4">
      <w:pPr>
        <w:spacing w:line="360" w:lineRule="auto"/>
        <w:ind w:left="413"/>
        <w:outlineLvl w:val="0"/>
        <w:rPr>
          <w:rFonts w:ascii="宋体" w:hAnsi="宋体"/>
          <w:b/>
        </w:rPr>
      </w:pPr>
      <w:r>
        <w:rPr>
          <w:rFonts w:ascii="宋体" w:hAnsi="宋体" w:hint="eastAsia"/>
          <w:b/>
        </w:rPr>
        <w:t>二、采购用途</w:t>
      </w:r>
    </w:p>
    <w:p w:rsidR="00DB4F5C" w:rsidRDefault="002A3AD4">
      <w:pPr>
        <w:spacing w:line="360" w:lineRule="auto"/>
        <w:ind w:left="413"/>
        <w:outlineLvl w:val="0"/>
        <w:rPr>
          <w:rFonts w:ascii="宋体" w:hAnsi="宋体"/>
        </w:rPr>
      </w:pPr>
      <w:r>
        <w:rPr>
          <w:rFonts w:ascii="宋体" w:hAnsi="宋体" w:hint="eastAsia"/>
        </w:rPr>
        <w:t xml:space="preserve">采购用途：□科研  □教学  </w:t>
      </w:r>
      <w:r>
        <w:rPr>
          <w:rFonts w:ascii="宋体" w:hAnsi="宋体" w:hint="eastAsia"/>
        </w:rPr>
        <w:sym w:font="Wingdings 2" w:char="0052"/>
      </w:r>
      <w:r>
        <w:rPr>
          <w:rFonts w:ascii="宋体" w:hAnsi="宋体" w:hint="eastAsia"/>
        </w:rPr>
        <w:t xml:space="preserve">医疗  □管理  □后勤  □其他 </w:t>
      </w:r>
    </w:p>
    <w:p w:rsidR="00DB4F5C" w:rsidRDefault="002A3AD4" w:rsidP="006D3120">
      <w:pPr>
        <w:spacing w:line="360" w:lineRule="auto"/>
        <w:ind w:firstLineChars="196" w:firstLine="412"/>
        <w:jc w:val="left"/>
        <w:rPr>
          <w:rFonts w:ascii="宋体" w:hAnsi="宋体"/>
        </w:rPr>
      </w:pPr>
      <w:r>
        <w:rPr>
          <w:rFonts w:ascii="宋体" w:hAnsi="宋体" w:hint="eastAsia"/>
        </w:rPr>
        <w:t>用途说明：</w:t>
      </w:r>
      <w:r w:rsidRPr="00E232C5">
        <w:rPr>
          <w:rFonts w:ascii="仿宋" w:eastAsia="仿宋" w:hAnsi="仿宋" w:cs="仿宋" w:hint="eastAsia"/>
          <w:color w:val="000000" w:themeColor="text1"/>
          <w:sz w:val="24"/>
        </w:rPr>
        <w:t>用于</w:t>
      </w:r>
      <w:r w:rsidR="00001F85" w:rsidRPr="00001F85">
        <w:rPr>
          <w:rFonts w:ascii="仿宋" w:eastAsia="仿宋" w:hAnsi="仿宋" w:cs="仿宋" w:hint="eastAsia"/>
          <w:sz w:val="24"/>
        </w:rPr>
        <w:t>产后或妇科术后的盆底康复以及盆底脱垂治疗</w:t>
      </w:r>
      <w:r w:rsidR="00087A55" w:rsidRPr="00E232C5">
        <w:rPr>
          <w:rFonts w:ascii="仿宋" w:eastAsia="仿宋" w:hAnsi="仿宋" w:cs="仿宋" w:hint="eastAsia"/>
          <w:color w:val="000000" w:themeColor="text1"/>
          <w:sz w:val="24"/>
        </w:rPr>
        <w:t>。</w:t>
      </w:r>
    </w:p>
    <w:p w:rsidR="004C00AA" w:rsidRDefault="004C00AA" w:rsidP="006D3120">
      <w:pPr>
        <w:spacing w:line="360" w:lineRule="auto"/>
        <w:ind w:firstLineChars="196" w:firstLine="413"/>
        <w:jc w:val="left"/>
        <w:rPr>
          <w:rFonts w:ascii="宋体" w:hAnsi="宋体"/>
          <w:b/>
        </w:rPr>
      </w:pPr>
    </w:p>
    <w:p w:rsidR="00DB4F5C" w:rsidRDefault="002A3AD4" w:rsidP="006D3120">
      <w:pPr>
        <w:spacing w:line="360" w:lineRule="auto"/>
        <w:ind w:firstLineChars="196" w:firstLine="413"/>
        <w:jc w:val="left"/>
        <w:rPr>
          <w:rFonts w:ascii="宋体" w:hAnsi="宋体"/>
          <w:b/>
        </w:rPr>
      </w:pPr>
      <w:r>
        <w:rPr>
          <w:rFonts w:ascii="宋体" w:hAnsi="宋体" w:hint="eastAsia"/>
          <w:b/>
        </w:rPr>
        <w:t>三、采购需求一览表（货物类）：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67"/>
        <w:gridCol w:w="1134"/>
        <w:gridCol w:w="1134"/>
        <w:gridCol w:w="1418"/>
        <w:gridCol w:w="2410"/>
      </w:tblGrid>
      <w:tr w:rsidR="00DB4F5C" w:rsidTr="00B406A4">
        <w:trPr>
          <w:trHeight w:val="70"/>
        </w:trPr>
        <w:tc>
          <w:tcPr>
            <w:tcW w:w="709" w:type="dxa"/>
            <w:vAlign w:val="center"/>
          </w:tcPr>
          <w:p w:rsidR="00DB4F5C" w:rsidRDefault="002A3AD4">
            <w:pPr>
              <w:jc w:val="center"/>
              <w:rPr>
                <w:rFonts w:ascii="宋体" w:hAnsi="宋体"/>
              </w:rPr>
            </w:pPr>
            <w:r>
              <w:rPr>
                <w:rFonts w:ascii="宋体" w:hAnsi="宋体" w:hint="eastAsia"/>
              </w:rPr>
              <w:t>序号</w:t>
            </w:r>
          </w:p>
        </w:tc>
        <w:tc>
          <w:tcPr>
            <w:tcW w:w="1667" w:type="dxa"/>
            <w:vAlign w:val="center"/>
          </w:tcPr>
          <w:p w:rsidR="00DB4F5C" w:rsidRDefault="002A3AD4">
            <w:pPr>
              <w:widowControl/>
              <w:jc w:val="center"/>
              <w:rPr>
                <w:rFonts w:ascii="宋体" w:hAnsi="宋体"/>
              </w:rPr>
            </w:pPr>
            <w:r>
              <w:rPr>
                <w:rFonts w:ascii="宋体" w:hAnsi="宋体" w:hint="eastAsia"/>
              </w:rPr>
              <w:t>货物名称</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是否为进口设备</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单位</w:t>
            </w:r>
          </w:p>
        </w:tc>
        <w:tc>
          <w:tcPr>
            <w:tcW w:w="1418" w:type="dxa"/>
            <w:vAlign w:val="center"/>
          </w:tcPr>
          <w:p w:rsidR="00DB4F5C" w:rsidRDefault="002A3AD4">
            <w:pPr>
              <w:widowControl/>
              <w:spacing w:line="360" w:lineRule="auto"/>
              <w:jc w:val="center"/>
              <w:rPr>
                <w:rFonts w:ascii="宋体" w:hAnsi="宋体"/>
              </w:rPr>
            </w:pPr>
            <w:r>
              <w:rPr>
                <w:rFonts w:ascii="宋体" w:hAnsi="宋体" w:hint="eastAsia"/>
              </w:rPr>
              <w:t>数量</w:t>
            </w:r>
          </w:p>
        </w:tc>
        <w:tc>
          <w:tcPr>
            <w:tcW w:w="2410" w:type="dxa"/>
            <w:vAlign w:val="center"/>
          </w:tcPr>
          <w:p w:rsidR="00DB4F5C" w:rsidRDefault="002A3AD4">
            <w:pPr>
              <w:widowControl/>
              <w:spacing w:line="360" w:lineRule="auto"/>
              <w:jc w:val="center"/>
              <w:rPr>
                <w:rFonts w:ascii="宋体" w:hAnsi="宋体"/>
              </w:rPr>
            </w:pPr>
            <w:r>
              <w:rPr>
                <w:rFonts w:ascii="宋体" w:hAnsi="宋体" w:hint="eastAsia"/>
              </w:rPr>
              <w:t>是否</w:t>
            </w:r>
            <w:proofErr w:type="gramStart"/>
            <w:r>
              <w:rPr>
                <w:rFonts w:ascii="宋体" w:hAnsi="宋体" w:hint="eastAsia"/>
              </w:rPr>
              <w:t>属核心</w:t>
            </w:r>
            <w:proofErr w:type="gramEnd"/>
            <w:r>
              <w:rPr>
                <w:rFonts w:ascii="宋体" w:hAnsi="宋体" w:hint="eastAsia"/>
              </w:rPr>
              <w:t>产品</w:t>
            </w:r>
          </w:p>
        </w:tc>
      </w:tr>
      <w:tr w:rsidR="00DB4F5C" w:rsidTr="00B406A4">
        <w:trPr>
          <w:trHeight w:val="70"/>
        </w:trPr>
        <w:tc>
          <w:tcPr>
            <w:tcW w:w="709" w:type="dxa"/>
            <w:vAlign w:val="center"/>
          </w:tcPr>
          <w:p w:rsidR="00DB4F5C" w:rsidRDefault="002A3AD4">
            <w:pPr>
              <w:jc w:val="center"/>
              <w:rPr>
                <w:rFonts w:ascii="宋体" w:hAnsi="宋体"/>
              </w:rPr>
            </w:pPr>
            <w:r>
              <w:rPr>
                <w:rFonts w:ascii="宋体" w:hAnsi="宋体" w:hint="eastAsia"/>
              </w:rPr>
              <w:t>1</w:t>
            </w:r>
          </w:p>
        </w:tc>
        <w:tc>
          <w:tcPr>
            <w:tcW w:w="1667" w:type="dxa"/>
            <w:vAlign w:val="center"/>
          </w:tcPr>
          <w:p w:rsidR="00DB4F5C" w:rsidRDefault="00001F85">
            <w:pPr>
              <w:widowControl/>
              <w:jc w:val="center"/>
              <w:rPr>
                <w:rFonts w:ascii="仿宋" w:eastAsia="仿宋" w:hAnsi="仿宋" w:cs="仿宋"/>
                <w:sz w:val="22"/>
                <w:szCs w:val="28"/>
              </w:rPr>
            </w:pPr>
            <w:r w:rsidRPr="00001F85">
              <w:rPr>
                <w:rFonts w:ascii="仿宋" w:eastAsia="仿宋" w:hAnsi="仿宋" w:cs="仿宋" w:hint="eastAsia"/>
                <w:sz w:val="24"/>
              </w:rPr>
              <w:t>盆底</w:t>
            </w:r>
            <w:r>
              <w:rPr>
                <w:rFonts w:ascii="仿宋" w:eastAsia="仿宋" w:hAnsi="仿宋" w:cs="仿宋" w:hint="eastAsia"/>
                <w:sz w:val="24"/>
              </w:rPr>
              <w:t>磁刺激治疗仪</w:t>
            </w:r>
          </w:p>
        </w:tc>
        <w:tc>
          <w:tcPr>
            <w:tcW w:w="1134" w:type="dxa"/>
            <w:vAlign w:val="center"/>
          </w:tcPr>
          <w:p w:rsidR="00DB4F5C" w:rsidRDefault="00001F85">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否</w:t>
            </w:r>
          </w:p>
        </w:tc>
        <w:tc>
          <w:tcPr>
            <w:tcW w:w="1134"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台</w:t>
            </w:r>
          </w:p>
        </w:tc>
        <w:tc>
          <w:tcPr>
            <w:tcW w:w="1418"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1</w:t>
            </w:r>
          </w:p>
        </w:tc>
        <w:tc>
          <w:tcPr>
            <w:tcW w:w="2410" w:type="dxa"/>
            <w:vAlign w:val="center"/>
          </w:tcPr>
          <w:p w:rsidR="00DB4F5C" w:rsidRDefault="00DB4F5C">
            <w:pPr>
              <w:widowControl/>
              <w:spacing w:line="360" w:lineRule="auto"/>
              <w:jc w:val="center"/>
              <w:rPr>
                <w:rFonts w:ascii="仿宋" w:eastAsia="仿宋" w:hAnsi="仿宋" w:cs="仿宋"/>
                <w:sz w:val="22"/>
                <w:szCs w:val="28"/>
              </w:rPr>
            </w:pPr>
          </w:p>
        </w:tc>
      </w:tr>
    </w:tbl>
    <w:p w:rsidR="007E45ED" w:rsidRDefault="007E45ED" w:rsidP="004B691D">
      <w:pPr>
        <w:spacing w:line="360" w:lineRule="auto"/>
        <w:jc w:val="left"/>
        <w:rPr>
          <w:rFonts w:ascii="宋体" w:hAnsi="宋体"/>
          <w:b/>
        </w:rPr>
      </w:pPr>
    </w:p>
    <w:p w:rsidR="00DB4F5C" w:rsidRDefault="002A3AD4" w:rsidP="00DF21A4">
      <w:pPr>
        <w:spacing w:line="360" w:lineRule="auto"/>
        <w:ind w:firstLineChars="196" w:firstLine="413"/>
        <w:jc w:val="left"/>
        <w:rPr>
          <w:rFonts w:ascii="宋体" w:hAnsi="宋体"/>
        </w:rPr>
      </w:pPr>
      <w:r>
        <w:rPr>
          <w:rFonts w:ascii="宋体" w:hAnsi="宋体" w:hint="eastAsia"/>
          <w:b/>
        </w:rPr>
        <w:t>四、技术指标（按一览表中货物分别填写）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00"/>
        <w:gridCol w:w="1701"/>
        <w:gridCol w:w="4962"/>
      </w:tblGrid>
      <w:tr w:rsidR="001D74DE" w:rsidTr="001D74DE">
        <w:trPr>
          <w:trHeight w:val="70"/>
        </w:trPr>
        <w:tc>
          <w:tcPr>
            <w:tcW w:w="709" w:type="dxa"/>
            <w:vAlign w:val="center"/>
          </w:tcPr>
          <w:p w:rsidR="001D74DE" w:rsidRDefault="001D74DE">
            <w:pPr>
              <w:jc w:val="center"/>
              <w:rPr>
                <w:rFonts w:ascii="宋体" w:hAnsi="宋体"/>
              </w:rPr>
            </w:pPr>
            <w:r>
              <w:rPr>
                <w:rFonts w:ascii="宋体" w:hAnsi="宋体" w:hint="eastAsia"/>
              </w:rPr>
              <w:t>序号</w:t>
            </w:r>
          </w:p>
        </w:tc>
        <w:tc>
          <w:tcPr>
            <w:tcW w:w="1100" w:type="dxa"/>
            <w:vAlign w:val="center"/>
          </w:tcPr>
          <w:p w:rsidR="001D74DE" w:rsidRDefault="001D74DE">
            <w:pPr>
              <w:widowControl/>
              <w:jc w:val="center"/>
              <w:rPr>
                <w:rFonts w:ascii="宋体" w:hAnsi="宋体"/>
              </w:rPr>
            </w:pPr>
            <w:r>
              <w:rPr>
                <w:rFonts w:ascii="宋体" w:hAnsi="宋体" w:hint="eastAsia"/>
              </w:rPr>
              <w:t>指标项</w:t>
            </w:r>
          </w:p>
        </w:tc>
        <w:tc>
          <w:tcPr>
            <w:tcW w:w="1701" w:type="dxa"/>
            <w:vAlign w:val="center"/>
          </w:tcPr>
          <w:p w:rsidR="001D74DE" w:rsidRDefault="001D74DE">
            <w:pPr>
              <w:widowControl/>
              <w:spacing w:line="360" w:lineRule="auto"/>
              <w:jc w:val="center"/>
              <w:rPr>
                <w:rFonts w:ascii="宋体" w:hAnsi="宋体"/>
              </w:rPr>
            </w:pPr>
            <w:r>
              <w:rPr>
                <w:rFonts w:ascii="宋体" w:hAnsi="宋体" w:hint="eastAsia"/>
              </w:rPr>
              <w:t>重要性</w:t>
            </w:r>
          </w:p>
        </w:tc>
        <w:tc>
          <w:tcPr>
            <w:tcW w:w="4962" w:type="dxa"/>
            <w:vAlign w:val="center"/>
          </w:tcPr>
          <w:p w:rsidR="001D74DE" w:rsidRDefault="001D74DE">
            <w:pPr>
              <w:widowControl/>
              <w:spacing w:line="360" w:lineRule="auto"/>
              <w:jc w:val="center"/>
              <w:rPr>
                <w:rFonts w:ascii="宋体" w:hAnsi="宋体"/>
              </w:rPr>
            </w:pPr>
            <w:r>
              <w:rPr>
                <w:rFonts w:ascii="宋体" w:hAnsi="宋体" w:hint="eastAsia"/>
              </w:rPr>
              <w:t>指标要求</w:t>
            </w:r>
          </w:p>
        </w:tc>
      </w:tr>
      <w:tr w:rsidR="001D74DE" w:rsidTr="001D74DE">
        <w:trPr>
          <w:trHeight w:val="490"/>
        </w:trPr>
        <w:tc>
          <w:tcPr>
            <w:tcW w:w="709" w:type="dxa"/>
            <w:vAlign w:val="center"/>
          </w:tcPr>
          <w:p w:rsidR="001D74DE" w:rsidRDefault="001D74DE" w:rsidP="00225812">
            <w:pPr>
              <w:jc w:val="center"/>
              <w:rPr>
                <w:rFonts w:ascii="仿宋" w:eastAsia="仿宋" w:hAnsi="仿宋"/>
                <w:sz w:val="24"/>
              </w:rPr>
            </w:pPr>
            <w:r>
              <w:rPr>
                <w:rFonts w:ascii="仿宋" w:eastAsia="仿宋" w:hAnsi="仿宋" w:hint="eastAsia"/>
                <w:sz w:val="24"/>
              </w:rPr>
              <w:t>1</w:t>
            </w:r>
          </w:p>
        </w:tc>
        <w:tc>
          <w:tcPr>
            <w:tcW w:w="1100" w:type="dxa"/>
            <w:vAlign w:val="center"/>
          </w:tcPr>
          <w:p w:rsidR="001D74DE" w:rsidRPr="0005154E" w:rsidRDefault="001D74DE" w:rsidP="0005154E">
            <w:pPr>
              <w:widowControl/>
              <w:jc w:val="center"/>
              <w:rPr>
                <w:rFonts w:ascii="仿宋" w:eastAsia="仿宋" w:hAnsi="仿宋"/>
                <w:sz w:val="24"/>
              </w:rPr>
            </w:pPr>
          </w:p>
        </w:tc>
        <w:tc>
          <w:tcPr>
            <w:tcW w:w="1701" w:type="dxa"/>
            <w:vAlign w:val="center"/>
          </w:tcPr>
          <w:p w:rsidR="001D74DE" w:rsidRDefault="001D74DE">
            <w:pPr>
              <w:widowControl/>
              <w:spacing w:line="360" w:lineRule="auto"/>
              <w:jc w:val="center"/>
              <w:rPr>
                <w:rFonts w:ascii="宋体" w:hAnsi="宋体"/>
              </w:rPr>
            </w:pPr>
            <w:r w:rsidRPr="004C7A55">
              <w:rPr>
                <w:rFonts w:asciiTheme="minorEastAsia" w:eastAsiaTheme="minorEastAsia" w:hAnsiTheme="minorEastAsia" w:cstheme="minorEastAsia"/>
                <w:color w:val="000000" w:themeColor="text1"/>
                <w:sz w:val="24"/>
              </w:rPr>
              <w:t>▲</w:t>
            </w:r>
          </w:p>
        </w:tc>
        <w:tc>
          <w:tcPr>
            <w:tcW w:w="4962" w:type="dxa"/>
            <w:vAlign w:val="center"/>
          </w:tcPr>
          <w:p w:rsidR="001D74DE" w:rsidRPr="00816CBE" w:rsidRDefault="001D74DE" w:rsidP="00816CBE">
            <w:pPr>
              <w:wordWrap w:val="0"/>
              <w:topLinePunct/>
              <w:adjustRightInd w:val="0"/>
              <w:snapToGrid w:val="0"/>
              <w:spacing w:line="276" w:lineRule="auto"/>
              <w:rPr>
                <w:rFonts w:ascii="仿宋" w:eastAsia="仿宋" w:hAnsi="仿宋" w:cstheme="minorEastAsia"/>
                <w:color w:val="000000" w:themeColor="text1"/>
                <w:sz w:val="24"/>
              </w:rPr>
            </w:pPr>
            <w:r w:rsidRPr="00816CBE">
              <w:rPr>
                <w:rFonts w:ascii="仿宋" w:eastAsia="仿宋" w:hAnsi="仿宋" w:cstheme="minorEastAsia"/>
                <w:color w:val="000000" w:themeColor="text1"/>
                <w:sz w:val="24"/>
              </w:rPr>
              <w:t>产品用于刺激人体中枢神经和外周神经，注册证适用范围包含外周神经（含盆底）功能的检测及腰骶神经功能障碍的辅助治疗</w:t>
            </w:r>
            <w:r>
              <w:rPr>
                <w:rFonts w:ascii="仿宋" w:eastAsia="仿宋" w:hAnsi="仿宋" w:cstheme="minorEastAsia" w:hint="eastAsia"/>
                <w:color w:val="000000" w:themeColor="text1"/>
                <w:sz w:val="24"/>
              </w:rPr>
              <w:t>，</w:t>
            </w:r>
          </w:p>
        </w:tc>
      </w:tr>
      <w:tr w:rsidR="001D74DE" w:rsidTr="001D74DE">
        <w:trPr>
          <w:trHeight w:val="556"/>
        </w:trPr>
        <w:tc>
          <w:tcPr>
            <w:tcW w:w="709" w:type="dxa"/>
            <w:vAlign w:val="center"/>
          </w:tcPr>
          <w:p w:rsidR="001D74DE" w:rsidRPr="0005154E" w:rsidRDefault="001D74DE" w:rsidP="00225812">
            <w:pPr>
              <w:jc w:val="center"/>
              <w:rPr>
                <w:rFonts w:ascii="仿宋" w:eastAsia="仿宋" w:hAnsi="仿宋"/>
                <w:sz w:val="24"/>
              </w:rPr>
            </w:pPr>
            <w:r>
              <w:rPr>
                <w:rFonts w:ascii="仿宋" w:eastAsia="仿宋" w:hAnsi="仿宋" w:hint="eastAsia"/>
                <w:sz w:val="24"/>
              </w:rPr>
              <w:t>2</w:t>
            </w:r>
          </w:p>
        </w:tc>
        <w:tc>
          <w:tcPr>
            <w:tcW w:w="1100" w:type="dxa"/>
            <w:vAlign w:val="center"/>
          </w:tcPr>
          <w:p w:rsidR="001D74DE" w:rsidRPr="0005154E" w:rsidRDefault="001D74DE" w:rsidP="0005154E">
            <w:pPr>
              <w:widowControl/>
              <w:jc w:val="center"/>
              <w:rPr>
                <w:rFonts w:ascii="仿宋" w:eastAsia="仿宋" w:hAnsi="仿宋"/>
                <w:sz w:val="24"/>
              </w:rPr>
            </w:pPr>
          </w:p>
        </w:tc>
        <w:tc>
          <w:tcPr>
            <w:tcW w:w="1701" w:type="dxa"/>
            <w:vAlign w:val="center"/>
          </w:tcPr>
          <w:p w:rsidR="001D74DE" w:rsidRDefault="001D74DE">
            <w:pPr>
              <w:widowControl/>
              <w:spacing w:line="360" w:lineRule="auto"/>
              <w:jc w:val="center"/>
              <w:rPr>
                <w:rFonts w:ascii="宋体" w:hAnsi="宋体"/>
              </w:rPr>
            </w:pPr>
            <w:r w:rsidRPr="004C7A55">
              <w:rPr>
                <w:rFonts w:asciiTheme="minorEastAsia" w:eastAsiaTheme="minorEastAsia" w:hAnsiTheme="minorEastAsia" w:cstheme="minorEastAsia" w:hint="eastAsia"/>
                <w:color w:val="000000" w:themeColor="text1"/>
                <w:sz w:val="24"/>
              </w:rPr>
              <w:t>★</w:t>
            </w:r>
          </w:p>
        </w:tc>
        <w:tc>
          <w:tcPr>
            <w:tcW w:w="4962" w:type="dxa"/>
            <w:vAlign w:val="center"/>
          </w:tcPr>
          <w:p w:rsidR="001D74DE" w:rsidRPr="00816CBE" w:rsidRDefault="001D74DE" w:rsidP="00816CBE">
            <w:pPr>
              <w:wordWrap w:val="0"/>
              <w:topLinePunct/>
              <w:adjustRightInd w:val="0"/>
              <w:snapToGrid w:val="0"/>
              <w:spacing w:line="276" w:lineRule="auto"/>
              <w:rPr>
                <w:rFonts w:ascii="仿宋" w:eastAsia="仿宋" w:hAnsi="仿宋" w:cstheme="minorEastAsia"/>
                <w:color w:val="000000" w:themeColor="text1"/>
                <w:sz w:val="24"/>
              </w:rPr>
            </w:pPr>
            <w:r w:rsidRPr="00816CBE">
              <w:rPr>
                <w:rFonts w:ascii="仿宋" w:eastAsia="仿宋" w:hAnsi="仿宋" w:cstheme="minorEastAsia" w:hint="eastAsia"/>
                <w:color w:val="000000" w:themeColor="text1"/>
                <w:sz w:val="24"/>
              </w:rPr>
              <w:t>脉冲磁场最大磁感应强度≥8Tesla</w:t>
            </w:r>
            <w:r>
              <w:rPr>
                <w:rFonts w:ascii="仿宋" w:eastAsia="仿宋" w:hAnsi="仿宋" w:cstheme="minorEastAsia" w:hint="eastAsia"/>
                <w:color w:val="000000" w:themeColor="text1"/>
                <w:sz w:val="24"/>
              </w:rPr>
              <w:t>，</w:t>
            </w:r>
          </w:p>
        </w:tc>
      </w:tr>
      <w:tr w:rsidR="001D74DE" w:rsidTr="001D74DE">
        <w:trPr>
          <w:trHeight w:val="987"/>
        </w:trPr>
        <w:tc>
          <w:tcPr>
            <w:tcW w:w="709" w:type="dxa"/>
            <w:vAlign w:val="center"/>
          </w:tcPr>
          <w:p w:rsidR="001D74DE" w:rsidRDefault="001D74DE" w:rsidP="00225812">
            <w:pPr>
              <w:jc w:val="center"/>
              <w:rPr>
                <w:rFonts w:ascii="仿宋" w:eastAsia="仿宋" w:hAnsi="仿宋"/>
                <w:sz w:val="24"/>
              </w:rPr>
            </w:pPr>
            <w:r>
              <w:rPr>
                <w:rFonts w:ascii="仿宋" w:eastAsia="仿宋" w:hAnsi="仿宋" w:hint="eastAsia"/>
                <w:sz w:val="24"/>
              </w:rPr>
              <w:t>3</w:t>
            </w:r>
          </w:p>
        </w:tc>
        <w:tc>
          <w:tcPr>
            <w:tcW w:w="1100" w:type="dxa"/>
            <w:vAlign w:val="center"/>
          </w:tcPr>
          <w:p w:rsidR="001D74DE" w:rsidRPr="0005154E" w:rsidRDefault="001D74DE" w:rsidP="0005154E">
            <w:pPr>
              <w:widowControl/>
              <w:jc w:val="center"/>
              <w:rPr>
                <w:rFonts w:ascii="仿宋" w:eastAsia="仿宋" w:hAnsi="仿宋"/>
                <w:sz w:val="24"/>
              </w:rPr>
            </w:pPr>
          </w:p>
        </w:tc>
        <w:tc>
          <w:tcPr>
            <w:tcW w:w="1701" w:type="dxa"/>
            <w:vAlign w:val="center"/>
          </w:tcPr>
          <w:p w:rsidR="001D74DE" w:rsidRDefault="001D74DE">
            <w:pPr>
              <w:widowControl/>
              <w:spacing w:line="360" w:lineRule="auto"/>
              <w:jc w:val="center"/>
              <w:rPr>
                <w:rFonts w:ascii="宋体" w:hAnsi="宋体"/>
              </w:rPr>
            </w:pPr>
          </w:p>
        </w:tc>
        <w:tc>
          <w:tcPr>
            <w:tcW w:w="4962" w:type="dxa"/>
            <w:vAlign w:val="center"/>
          </w:tcPr>
          <w:p w:rsidR="001D74DE" w:rsidRPr="00816CBE" w:rsidRDefault="001D74DE" w:rsidP="00816CBE">
            <w:pPr>
              <w:wordWrap w:val="0"/>
              <w:topLinePunct/>
              <w:adjustRightInd w:val="0"/>
              <w:snapToGrid w:val="0"/>
              <w:spacing w:line="276" w:lineRule="auto"/>
              <w:rPr>
                <w:rFonts w:ascii="仿宋" w:eastAsia="仿宋" w:hAnsi="仿宋" w:cstheme="minorEastAsia"/>
                <w:color w:val="000000" w:themeColor="text1"/>
                <w:sz w:val="24"/>
              </w:rPr>
            </w:pPr>
            <w:r w:rsidRPr="00816CBE">
              <w:rPr>
                <w:rFonts w:ascii="仿宋" w:eastAsia="仿宋" w:hAnsi="仿宋" w:cstheme="minorEastAsia" w:hint="eastAsia"/>
                <w:color w:val="000000" w:themeColor="text1"/>
                <w:sz w:val="24"/>
              </w:rPr>
              <w:t>磁刺激脉冲源、冷却系统需集成在同一主机机箱内</w:t>
            </w:r>
            <w:r>
              <w:rPr>
                <w:rFonts w:ascii="仿宋" w:eastAsia="仿宋" w:hAnsi="仿宋" w:cstheme="minorEastAsia" w:hint="eastAsia"/>
                <w:color w:val="000000" w:themeColor="text1"/>
                <w:sz w:val="24"/>
              </w:rPr>
              <w:t>，</w:t>
            </w:r>
          </w:p>
        </w:tc>
      </w:tr>
      <w:tr w:rsidR="001D74DE" w:rsidTr="001D74DE">
        <w:trPr>
          <w:trHeight w:val="773"/>
        </w:trPr>
        <w:tc>
          <w:tcPr>
            <w:tcW w:w="709" w:type="dxa"/>
            <w:vAlign w:val="center"/>
          </w:tcPr>
          <w:p w:rsidR="001D74DE" w:rsidRDefault="001D74DE" w:rsidP="008552A6">
            <w:pPr>
              <w:jc w:val="center"/>
              <w:rPr>
                <w:rFonts w:ascii="宋体" w:hAnsi="宋体"/>
              </w:rPr>
            </w:pPr>
            <w:r>
              <w:rPr>
                <w:rFonts w:ascii="宋体" w:hAnsi="宋体" w:hint="eastAsia"/>
              </w:rPr>
              <w:t>4</w:t>
            </w:r>
          </w:p>
        </w:tc>
        <w:tc>
          <w:tcPr>
            <w:tcW w:w="1100" w:type="dxa"/>
            <w:vAlign w:val="center"/>
          </w:tcPr>
          <w:p w:rsidR="001D74DE" w:rsidRDefault="001D74DE" w:rsidP="008552A6">
            <w:pPr>
              <w:widowControl/>
              <w:rPr>
                <w:rFonts w:ascii="宋体" w:hAnsi="宋体"/>
              </w:rPr>
            </w:pPr>
          </w:p>
        </w:tc>
        <w:tc>
          <w:tcPr>
            <w:tcW w:w="1701" w:type="dxa"/>
            <w:vAlign w:val="center"/>
          </w:tcPr>
          <w:p w:rsidR="001D74DE" w:rsidRDefault="001D74DE" w:rsidP="008552A6">
            <w:pPr>
              <w:widowControl/>
              <w:spacing w:line="360" w:lineRule="auto"/>
              <w:jc w:val="center"/>
              <w:rPr>
                <w:rFonts w:ascii="宋体" w:hAnsi="宋体"/>
              </w:rPr>
            </w:pPr>
          </w:p>
        </w:tc>
        <w:tc>
          <w:tcPr>
            <w:tcW w:w="4962" w:type="dxa"/>
            <w:vAlign w:val="center"/>
          </w:tcPr>
          <w:p w:rsidR="001D74DE" w:rsidRPr="00816CBE" w:rsidRDefault="001D74DE" w:rsidP="00816CBE">
            <w:pPr>
              <w:widowControl/>
              <w:spacing w:line="276" w:lineRule="auto"/>
              <w:jc w:val="left"/>
              <w:rPr>
                <w:rFonts w:ascii="仿宋" w:eastAsia="仿宋" w:hAnsi="仿宋" w:cs="华文细黑"/>
                <w:color w:val="000000"/>
                <w:kern w:val="0"/>
                <w:sz w:val="24"/>
                <w:lang w:bidi="ar"/>
              </w:rPr>
            </w:pPr>
            <w:proofErr w:type="gramStart"/>
            <w:r w:rsidRPr="00816CBE">
              <w:rPr>
                <w:rFonts w:ascii="仿宋" w:eastAsia="仿宋" w:hAnsi="仿宋" w:cstheme="minorEastAsia" w:hint="eastAsia"/>
                <w:color w:val="000000" w:themeColor="text1"/>
                <w:sz w:val="24"/>
              </w:rPr>
              <w:t>标配2个</w:t>
            </w:r>
            <w:proofErr w:type="gramEnd"/>
            <w:r w:rsidRPr="00816CBE">
              <w:rPr>
                <w:rFonts w:ascii="仿宋" w:eastAsia="仿宋" w:hAnsi="仿宋" w:cstheme="minorEastAsia" w:hint="eastAsia"/>
                <w:color w:val="000000" w:themeColor="text1"/>
                <w:sz w:val="24"/>
              </w:rPr>
              <w:t>液冷线圈，包括盆底铁芯线圈和外</w:t>
            </w:r>
            <w:proofErr w:type="gramStart"/>
            <w:r w:rsidRPr="00816CBE">
              <w:rPr>
                <w:rFonts w:ascii="仿宋" w:eastAsia="仿宋" w:hAnsi="仿宋" w:cstheme="minorEastAsia" w:hint="eastAsia"/>
                <w:color w:val="000000" w:themeColor="text1"/>
                <w:sz w:val="24"/>
              </w:rPr>
              <w:t>周刺激</w:t>
            </w:r>
            <w:proofErr w:type="gramEnd"/>
            <w:r w:rsidRPr="00816CBE">
              <w:rPr>
                <w:rFonts w:ascii="仿宋" w:eastAsia="仿宋" w:hAnsi="仿宋" w:cstheme="minorEastAsia" w:hint="eastAsia"/>
                <w:color w:val="000000" w:themeColor="text1"/>
                <w:sz w:val="24"/>
              </w:rPr>
              <w:t>线圈，满足临床对不同部位的治疗需求，盆底铁芯线圈同时适用于盆底刺激和骶神经刺激</w:t>
            </w:r>
            <w:r>
              <w:rPr>
                <w:rFonts w:ascii="仿宋" w:eastAsia="仿宋" w:hAnsi="仿宋" w:cstheme="minorEastAsia" w:hint="eastAsia"/>
                <w:color w:val="000000" w:themeColor="text1"/>
                <w:sz w:val="24"/>
              </w:rPr>
              <w:t>，</w:t>
            </w:r>
          </w:p>
        </w:tc>
      </w:tr>
      <w:tr w:rsidR="001D74DE" w:rsidTr="001D74DE">
        <w:trPr>
          <w:trHeight w:val="773"/>
        </w:trPr>
        <w:tc>
          <w:tcPr>
            <w:tcW w:w="709" w:type="dxa"/>
            <w:vAlign w:val="center"/>
          </w:tcPr>
          <w:p w:rsidR="001D74DE" w:rsidRDefault="001D74DE" w:rsidP="008552A6">
            <w:pPr>
              <w:jc w:val="center"/>
              <w:rPr>
                <w:rFonts w:ascii="宋体" w:hAnsi="宋体"/>
              </w:rPr>
            </w:pPr>
            <w:r>
              <w:rPr>
                <w:rFonts w:ascii="宋体" w:hAnsi="宋体" w:hint="eastAsia"/>
              </w:rPr>
              <w:lastRenderedPageBreak/>
              <w:t>5</w:t>
            </w:r>
          </w:p>
        </w:tc>
        <w:tc>
          <w:tcPr>
            <w:tcW w:w="1100" w:type="dxa"/>
            <w:vAlign w:val="center"/>
          </w:tcPr>
          <w:p w:rsidR="001D74DE" w:rsidRDefault="001D74DE" w:rsidP="008552A6">
            <w:pPr>
              <w:widowControl/>
              <w:jc w:val="center"/>
              <w:rPr>
                <w:rFonts w:ascii="宋体" w:hAnsi="宋体"/>
              </w:rPr>
            </w:pPr>
          </w:p>
        </w:tc>
        <w:tc>
          <w:tcPr>
            <w:tcW w:w="1701" w:type="dxa"/>
            <w:vAlign w:val="center"/>
          </w:tcPr>
          <w:p w:rsidR="001D74DE" w:rsidRDefault="001D74DE" w:rsidP="008552A6">
            <w:pPr>
              <w:widowControl/>
              <w:spacing w:line="360" w:lineRule="auto"/>
              <w:jc w:val="center"/>
              <w:rPr>
                <w:rFonts w:ascii="宋体" w:hAnsi="宋体"/>
              </w:rPr>
            </w:pPr>
          </w:p>
        </w:tc>
        <w:tc>
          <w:tcPr>
            <w:tcW w:w="4962" w:type="dxa"/>
            <w:vAlign w:val="center"/>
          </w:tcPr>
          <w:p w:rsidR="001D74DE" w:rsidRPr="00816CBE" w:rsidRDefault="001D74DE" w:rsidP="00816CBE">
            <w:pPr>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外</w:t>
            </w:r>
            <w:proofErr w:type="gramStart"/>
            <w:r w:rsidRPr="00816CBE">
              <w:rPr>
                <w:rFonts w:ascii="仿宋" w:eastAsia="仿宋" w:hAnsi="仿宋" w:cstheme="minorEastAsia" w:hint="eastAsia"/>
                <w:color w:val="000000" w:themeColor="text1"/>
                <w:sz w:val="24"/>
              </w:rPr>
              <w:t>周刺激</w:t>
            </w:r>
            <w:proofErr w:type="gramEnd"/>
            <w:r w:rsidRPr="00816CBE">
              <w:rPr>
                <w:rFonts w:ascii="仿宋" w:eastAsia="仿宋" w:hAnsi="仿宋" w:cstheme="minorEastAsia" w:hint="eastAsia"/>
                <w:color w:val="000000" w:themeColor="text1"/>
                <w:sz w:val="24"/>
              </w:rPr>
              <w:t>线圈可以通过线圈把手按键进行强度调节和触发磁刺激输出，可显示实时线圈温度</w:t>
            </w:r>
            <w:r>
              <w:rPr>
                <w:rFonts w:ascii="仿宋" w:eastAsia="仿宋" w:hAnsi="仿宋" w:cstheme="minorEastAsia" w:hint="eastAsia"/>
                <w:color w:val="000000" w:themeColor="text1"/>
                <w:sz w:val="24"/>
              </w:rPr>
              <w:t>，</w:t>
            </w:r>
          </w:p>
        </w:tc>
      </w:tr>
      <w:tr w:rsidR="001D74DE" w:rsidTr="001D74DE">
        <w:trPr>
          <w:trHeight w:val="773"/>
        </w:trPr>
        <w:tc>
          <w:tcPr>
            <w:tcW w:w="709" w:type="dxa"/>
            <w:vAlign w:val="center"/>
          </w:tcPr>
          <w:p w:rsidR="001D74DE" w:rsidRDefault="001D74DE" w:rsidP="008552A6">
            <w:pPr>
              <w:jc w:val="center"/>
              <w:rPr>
                <w:rFonts w:ascii="宋体" w:hAnsi="宋体"/>
              </w:rPr>
            </w:pPr>
            <w:r>
              <w:rPr>
                <w:rFonts w:ascii="宋体" w:hAnsi="宋体" w:hint="eastAsia"/>
              </w:rPr>
              <w:t>6</w:t>
            </w:r>
          </w:p>
        </w:tc>
        <w:tc>
          <w:tcPr>
            <w:tcW w:w="1100" w:type="dxa"/>
            <w:vAlign w:val="center"/>
          </w:tcPr>
          <w:p w:rsidR="001D74DE" w:rsidRDefault="001D74DE" w:rsidP="008552A6">
            <w:pPr>
              <w:widowControl/>
              <w:jc w:val="center"/>
              <w:rPr>
                <w:rFonts w:ascii="宋体" w:hAnsi="宋体"/>
              </w:rPr>
            </w:pPr>
          </w:p>
        </w:tc>
        <w:tc>
          <w:tcPr>
            <w:tcW w:w="1701" w:type="dxa"/>
            <w:vAlign w:val="center"/>
          </w:tcPr>
          <w:p w:rsidR="001D74DE" w:rsidRDefault="001D74DE" w:rsidP="008552A6">
            <w:pPr>
              <w:widowControl/>
              <w:spacing w:line="360" w:lineRule="auto"/>
              <w:jc w:val="center"/>
              <w:rPr>
                <w:rFonts w:ascii="宋体" w:hAnsi="宋体"/>
              </w:rPr>
            </w:pPr>
            <w:r w:rsidRPr="00FD2549">
              <w:rPr>
                <w:rFonts w:ascii="宋体" w:hAnsi="宋体" w:hint="eastAsia"/>
                <w:sz w:val="22"/>
              </w:rPr>
              <w:t>▲</w:t>
            </w: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主</w:t>
            </w:r>
            <w:proofErr w:type="gramStart"/>
            <w:r w:rsidRPr="00816CBE">
              <w:rPr>
                <w:rFonts w:ascii="仿宋" w:eastAsia="仿宋" w:hAnsi="仿宋" w:cstheme="minorEastAsia" w:hint="eastAsia"/>
                <w:color w:val="000000" w:themeColor="text1"/>
                <w:sz w:val="24"/>
              </w:rPr>
              <w:t>副双屏</w:t>
            </w:r>
            <w:proofErr w:type="gramEnd"/>
            <w:r w:rsidRPr="00816CBE">
              <w:rPr>
                <w:rFonts w:ascii="仿宋" w:eastAsia="仿宋" w:hAnsi="仿宋" w:cstheme="minorEastAsia" w:hint="eastAsia"/>
                <w:color w:val="000000" w:themeColor="text1"/>
                <w:sz w:val="24"/>
              </w:rPr>
              <w:t>配置，主屏医护操作，副</w:t>
            </w:r>
            <w:proofErr w:type="gramStart"/>
            <w:r w:rsidRPr="00816CBE">
              <w:rPr>
                <w:rFonts w:ascii="仿宋" w:eastAsia="仿宋" w:hAnsi="仿宋" w:cstheme="minorEastAsia" w:hint="eastAsia"/>
                <w:color w:val="000000" w:themeColor="text1"/>
                <w:sz w:val="24"/>
              </w:rPr>
              <w:t>屏患者</w:t>
            </w:r>
            <w:proofErr w:type="gramEnd"/>
            <w:r w:rsidRPr="00816CBE">
              <w:rPr>
                <w:rFonts w:ascii="仿宋" w:eastAsia="仿宋" w:hAnsi="仿宋" w:cstheme="minorEastAsia" w:hint="eastAsia"/>
                <w:color w:val="000000" w:themeColor="text1"/>
                <w:sz w:val="24"/>
              </w:rPr>
              <w:t>观看，</w:t>
            </w:r>
            <w:proofErr w:type="gramStart"/>
            <w:r w:rsidRPr="00816CBE">
              <w:rPr>
                <w:rFonts w:ascii="仿宋" w:eastAsia="仿宋" w:hAnsi="仿宋" w:cstheme="minorEastAsia" w:hint="eastAsia"/>
                <w:color w:val="000000" w:themeColor="text1"/>
                <w:sz w:val="24"/>
              </w:rPr>
              <w:t>医</w:t>
            </w:r>
            <w:proofErr w:type="gramEnd"/>
            <w:r w:rsidRPr="00816CBE">
              <w:rPr>
                <w:rFonts w:ascii="仿宋" w:eastAsia="仿宋" w:hAnsi="仿宋" w:cstheme="minorEastAsia" w:hint="eastAsia"/>
                <w:color w:val="000000" w:themeColor="text1"/>
                <w:sz w:val="24"/>
              </w:rPr>
              <w:t>患实时互动</w:t>
            </w:r>
            <w:r>
              <w:rPr>
                <w:rFonts w:ascii="仿宋" w:eastAsia="仿宋" w:hAnsi="仿宋" w:cstheme="minorEastAsia" w:hint="eastAsia"/>
                <w:color w:val="000000" w:themeColor="text1"/>
                <w:sz w:val="24"/>
              </w:rPr>
              <w:t>，</w:t>
            </w:r>
          </w:p>
        </w:tc>
      </w:tr>
      <w:tr w:rsidR="001D74DE" w:rsidTr="001D74DE">
        <w:trPr>
          <w:trHeight w:val="773"/>
        </w:trPr>
        <w:tc>
          <w:tcPr>
            <w:tcW w:w="709" w:type="dxa"/>
            <w:vAlign w:val="center"/>
          </w:tcPr>
          <w:p w:rsidR="001D74DE" w:rsidRDefault="001D74DE" w:rsidP="008552A6">
            <w:pPr>
              <w:jc w:val="center"/>
              <w:rPr>
                <w:rFonts w:ascii="宋体" w:hAnsi="宋体"/>
              </w:rPr>
            </w:pPr>
            <w:r>
              <w:rPr>
                <w:rFonts w:ascii="宋体" w:hAnsi="宋体" w:hint="eastAsia"/>
              </w:rPr>
              <w:t>7</w:t>
            </w:r>
          </w:p>
        </w:tc>
        <w:tc>
          <w:tcPr>
            <w:tcW w:w="1100" w:type="dxa"/>
            <w:vAlign w:val="center"/>
          </w:tcPr>
          <w:p w:rsidR="001D74DE" w:rsidRDefault="001D74DE" w:rsidP="008552A6">
            <w:pPr>
              <w:widowControl/>
              <w:jc w:val="center"/>
              <w:rPr>
                <w:rFonts w:ascii="宋体" w:hAnsi="宋体"/>
              </w:rPr>
            </w:pPr>
          </w:p>
        </w:tc>
        <w:tc>
          <w:tcPr>
            <w:tcW w:w="1701" w:type="dxa"/>
            <w:vAlign w:val="center"/>
          </w:tcPr>
          <w:p w:rsidR="001D74DE" w:rsidRDefault="001D74DE" w:rsidP="008552A6">
            <w:pPr>
              <w:widowControl/>
              <w:spacing w:line="360" w:lineRule="auto"/>
              <w:jc w:val="center"/>
              <w:rPr>
                <w:rFonts w:ascii="宋体" w:hAnsi="宋体"/>
              </w:rPr>
            </w:pPr>
            <w:r w:rsidRPr="00FD2549">
              <w:rPr>
                <w:rFonts w:ascii="宋体" w:hAnsi="宋体" w:hint="eastAsia"/>
                <w:sz w:val="22"/>
              </w:rPr>
              <w:t>▲</w:t>
            </w: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座椅靠背及</w:t>
            </w:r>
            <w:proofErr w:type="gramStart"/>
            <w:r w:rsidRPr="00816CBE">
              <w:rPr>
                <w:rFonts w:ascii="仿宋" w:eastAsia="仿宋" w:hAnsi="仿宋" w:cstheme="minorEastAsia" w:hint="eastAsia"/>
                <w:color w:val="000000" w:themeColor="text1"/>
                <w:sz w:val="24"/>
              </w:rPr>
              <w:t>腿托可</w:t>
            </w:r>
            <w:proofErr w:type="gramEnd"/>
            <w:r w:rsidRPr="00816CBE">
              <w:rPr>
                <w:rFonts w:ascii="仿宋" w:eastAsia="仿宋" w:hAnsi="仿宋" w:cstheme="minorEastAsia" w:hint="eastAsia"/>
                <w:color w:val="000000" w:themeColor="text1"/>
                <w:sz w:val="24"/>
              </w:rPr>
              <w:t>进行座椅按键、电脑软件与磁刺激主机旋钮三模式调节，软件控制治疗座椅进行盆</w:t>
            </w:r>
            <w:proofErr w:type="gramStart"/>
            <w:r w:rsidRPr="00816CBE">
              <w:rPr>
                <w:rFonts w:ascii="仿宋" w:eastAsia="仿宋" w:hAnsi="仿宋" w:cstheme="minorEastAsia" w:hint="eastAsia"/>
                <w:color w:val="000000" w:themeColor="text1"/>
                <w:sz w:val="24"/>
              </w:rPr>
              <w:t>底坐</w:t>
            </w:r>
            <w:proofErr w:type="gramEnd"/>
            <w:r w:rsidRPr="00816CBE">
              <w:rPr>
                <w:rFonts w:ascii="仿宋" w:eastAsia="仿宋" w:hAnsi="仿宋" w:cstheme="minorEastAsia" w:hint="eastAsia"/>
                <w:color w:val="000000" w:themeColor="text1"/>
                <w:sz w:val="24"/>
              </w:rPr>
              <w:t>位、骶神经仰卧位与</w:t>
            </w:r>
            <w:proofErr w:type="gramStart"/>
            <w:r w:rsidRPr="00816CBE">
              <w:rPr>
                <w:rFonts w:ascii="仿宋" w:eastAsia="仿宋" w:hAnsi="仿宋" w:cstheme="minorEastAsia" w:hint="eastAsia"/>
                <w:color w:val="000000" w:themeColor="text1"/>
                <w:sz w:val="24"/>
              </w:rPr>
              <w:t>俯卧位三模式</w:t>
            </w:r>
            <w:proofErr w:type="gramEnd"/>
            <w:r w:rsidRPr="00816CBE">
              <w:rPr>
                <w:rFonts w:ascii="仿宋" w:eastAsia="仿宋" w:hAnsi="仿宋" w:cstheme="minorEastAsia" w:hint="eastAsia"/>
                <w:color w:val="000000" w:themeColor="text1"/>
                <w:sz w:val="24"/>
              </w:rPr>
              <w:t>一键自动切换，更加方便。</w:t>
            </w:r>
            <w:proofErr w:type="gramStart"/>
            <w:r w:rsidRPr="00816CBE">
              <w:rPr>
                <w:rFonts w:ascii="仿宋" w:eastAsia="仿宋" w:hAnsi="仿宋" w:cstheme="minorEastAsia" w:hint="eastAsia"/>
                <w:color w:val="000000" w:themeColor="text1"/>
                <w:sz w:val="24"/>
              </w:rPr>
              <w:t>标配盆底</w:t>
            </w:r>
            <w:proofErr w:type="gramEnd"/>
            <w:r w:rsidRPr="00816CBE">
              <w:rPr>
                <w:rFonts w:ascii="仿宋" w:eastAsia="仿宋" w:hAnsi="仿宋" w:cstheme="minorEastAsia" w:hint="eastAsia"/>
                <w:color w:val="000000" w:themeColor="text1"/>
                <w:sz w:val="24"/>
              </w:rPr>
              <w:t>磁刺激专用座椅，座椅靠背角度可调，可放平至180°，提高患者治疗中的舒适度、依从性与配合度</w:t>
            </w:r>
          </w:p>
        </w:tc>
      </w:tr>
      <w:tr w:rsidR="001D74DE" w:rsidTr="001D74DE">
        <w:trPr>
          <w:trHeight w:val="773"/>
        </w:trPr>
        <w:tc>
          <w:tcPr>
            <w:tcW w:w="709" w:type="dxa"/>
            <w:vAlign w:val="center"/>
          </w:tcPr>
          <w:p w:rsidR="001D74DE" w:rsidRDefault="001D74DE" w:rsidP="008552A6">
            <w:pPr>
              <w:jc w:val="center"/>
              <w:rPr>
                <w:rFonts w:ascii="宋体" w:hAnsi="宋体"/>
              </w:rPr>
            </w:pPr>
            <w:r>
              <w:rPr>
                <w:rFonts w:ascii="宋体" w:hAnsi="宋体" w:hint="eastAsia"/>
              </w:rPr>
              <w:t>8</w:t>
            </w:r>
          </w:p>
        </w:tc>
        <w:tc>
          <w:tcPr>
            <w:tcW w:w="1100" w:type="dxa"/>
            <w:vAlign w:val="center"/>
          </w:tcPr>
          <w:p w:rsidR="001D74DE" w:rsidRDefault="001D74DE" w:rsidP="008552A6">
            <w:pPr>
              <w:widowControl/>
              <w:jc w:val="center"/>
              <w:rPr>
                <w:rFonts w:ascii="宋体" w:hAnsi="宋体"/>
              </w:rPr>
            </w:pPr>
          </w:p>
        </w:tc>
        <w:tc>
          <w:tcPr>
            <w:tcW w:w="1701" w:type="dxa"/>
            <w:vAlign w:val="center"/>
          </w:tcPr>
          <w:p w:rsidR="001D74DE" w:rsidRDefault="001D74DE" w:rsidP="008552A6">
            <w:pPr>
              <w:widowControl/>
              <w:spacing w:line="360" w:lineRule="auto"/>
              <w:jc w:val="center"/>
              <w:rPr>
                <w:rFonts w:ascii="宋体" w:hAnsi="宋体"/>
              </w:rPr>
            </w:pP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采用液态内循环冷却系统联合风冷系统，散热效率高，保证设备长时间运行，可实现系统温度≤40℃。防护系统实时监测线圈温度，安全预警暂停工作，保证安全使用。</w:t>
            </w:r>
          </w:p>
        </w:tc>
      </w:tr>
      <w:tr w:rsidR="001D74DE" w:rsidTr="001D74DE">
        <w:trPr>
          <w:trHeight w:val="773"/>
        </w:trPr>
        <w:tc>
          <w:tcPr>
            <w:tcW w:w="709" w:type="dxa"/>
            <w:vAlign w:val="center"/>
          </w:tcPr>
          <w:p w:rsidR="001D74DE" w:rsidRDefault="001D74DE" w:rsidP="008552A6">
            <w:pPr>
              <w:jc w:val="center"/>
              <w:rPr>
                <w:rFonts w:ascii="宋体" w:hAnsi="宋体"/>
              </w:rPr>
            </w:pPr>
            <w:r>
              <w:rPr>
                <w:rFonts w:ascii="宋体" w:hAnsi="宋体" w:hint="eastAsia"/>
              </w:rPr>
              <w:t>9</w:t>
            </w:r>
          </w:p>
        </w:tc>
        <w:tc>
          <w:tcPr>
            <w:tcW w:w="1100" w:type="dxa"/>
            <w:vAlign w:val="center"/>
          </w:tcPr>
          <w:p w:rsidR="001D74DE" w:rsidRDefault="001D74DE" w:rsidP="008552A6">
            <w:pPr>
              <w:widowControl/>
              <w:jc w:val="center"/>
              <w:rPr>
                <w:rFonts w:ascii="宋体" w:hAnsi="宋体"/>
              </w:rPr>
            </w:pPr>
          </w:p>
        </w:tc>
        <w:tc>
          <w:tcPr>
            <w:tcW w:w="1701" w:type="dxa"/>
            <w:vAlign w:val="center"/>
          </w:tcPr>
          <w:p w:rsidR="001D74DE" w:rsidRDefault="001D74DE" w:rsidP="008552A6">
            <w:pPr>
              <w:widowControl/>
              <w:spacing w:line="360" w:lineRule="auto"/>
              <w:jc w:val="center"/>
              <w:rPr>
                <w:rFonts w:ascii="宋体" w:hAnsi="宋体"/>
              </w:rPr>
            </w:pP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运动诱发电位测量灵敏度示值准确度范围：1～2700μV，检查最小分辨率</w:t>
            </w:r>
            <w:bookmarkStart w:id="0" w:name="_Hlk204874939"/>
            <w:r w:rsidRPr="00816CBE">
              <w:rPr>
                <w:rFonts w:ascii="仿宋" w:eastAsia="仿宋" w:hAnsi="仿宋" w:cstheme="minorEastAsia" w:hint="eastAsia"/>
                <w:color w:val="000000" w:themeColor="text1"/>
                <w:sz w:val="24"/>
              </w:rPr>
              <w:t>≤</w:t>
            </w:r>
            <w:bookmarkEnd w:id="0"/>
            <w:r w:rsidRPr="00816CBE">
              <w:rPr>
                <w:rFonts w:ascii="仿宋" w:eastAsia="仿宋" w:hAnsi="仿宋" w:cstheme="minorEastAsia" w:hint="eastAsia"/>
                <w:color w:val="000000" w:themeColor="text1"/>
                <w:sz w:val="24"/>
              </w:rPr>
              <w:t>1μV。</w:t>
            </w:r>
          </w:p>
        </w:tc>
      </w:tr>
      <w:tr w:rsidR="001D74DE" w:rsidTr="001D74DE">
        <w:trPr>
          <w:trHeight w:val="1063"/>
        </w:trPr>
        <w:tc>
          <w:tcPr>
            <w:tcW w:w="709" w:type="dxa"/>
            <w:vAlign w:val="center"/>
          </w:tcPr>
          <w:p w:rsidR="001D74DE" w:rsidRDefault="001D74DE" w:rsidP="00B72D83">
            <w:pPr>
              <w:jc w:val="center"/>
              <w:rPr>
                <w:rFonts w:ascii="仿宋" w:eastAsia="仿宋" w:hAnsi="仿宋"/>
                <w:sz w:val="24"/>
              </w:rPr>
            </w:pPr>
            <w:r>
              <w:rPr>
                <w:rFonts w:ascii="仿宋" w:eastAsia="仿宋" w:hAnsi="仿宋" w:hint="eastAsia"/>
                <w:sz w:val="24"/>
              </w:rPr>
              <w:t>10</w:t>
            </w:r>
          </w:p>
        </w:tc>
        <w:tc>
          <w:tcPr>
            <w:tcW w:w="1100" w:type="dxa"/>
            <w:vAlign w:val="center"/>
          </w:tcPr>
          <w:p w:rsidR="001D74DE" w:rsidRDefault="001D74DE" w:rsidP="0005154E">
            <w:pPr>
              <w:widowControl/>
              <w:jc w:val="center"/>
              <w:rPr>
                <w:rFonts w:ascii="仿宋" w:eastAsia="仿宋" w:hAnsi="仿宋"/>
                <w:sz w:val="24"/>
              </w:rPr>
            </w:pPr>
          </w:p>
        </w:tc>
        <w:tc>
          <w:tcPr>
            <w:tcW w:w="1701" w:type="dxa"/>
            <w:vAlign w:val="center"/>
          </w:tcPr>
          <w:p w:rsidR="001D74DE" w:rsidRDefault="001D74DE">
            <w:pPr>
              <w:widowControl/>
              <w:spacing w:line="360" w:lineRule="auto"/>
              <w:jc w:val="center"/>
              <w:rPr>
                <w:rFonts w:ascii="宋体" w:hAnsi="宋体"/>
              </w:rPr>
            </w:pPr>
            <w:bookmarkStart w:id="1" w:name="_Hlk204873923"/>
            <w:r w:rsidRPr="004C7A55">
              <w:rPr>
                <w:rFonts w:asciiTheme="minorEastAsia" w:eastAsiaTheme="minorEastAsia" w:hAnsiTheme="minorEastAsia" w:cstheme="minorEastAsia" w:hint="eastAsia"/>
                <w:color w:val="000000" w:themeColor="text1"/>
                <w:sz w:val="24"/>
              </w:rPr>
              <w:t>▲</w:t>
            </w:r>
            <w:bookmarkEnd w:id="1"/>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sz w:val="24"/>
              </w:rPr>
            </w:pPr>
            <w:r w:rsidRPr="00816CBE">
              <w:rPr>
                <w:rFonts w:ascii="仿宋" w:eastAsia="仿宋" w:hAnsi="仿宋" w:cstheme="minorEastAsia" w:hint="eastAsia"/>
                <w:color w:val="000000" w:themeColor="text1"/>
                <w:sz w:val="24"/>
              </w:rPr>
              <w:t>磁刺激设备包含体外反馈模块，用于检测盆底运动，体外反馈模块（盆底运动检测模块）工作频率60GHz±5%；检测盆底</w:t>
            </w:r>
            <w:proofErr w:type="gramStart"/>
            <w:r w:rsidRPr="00816CBE">
              <w:rPr>
                <w:rFonts w:ascii="仿宋" w:eastAsia="仿宋" w:hAnsi="仿宋" w:cstheme="minorEastAsia" w:hint="eastAsia"/>
                <w:color w:val="000000" w:themeColor="text1"/>
                <w:sz w:val="24"/>
              </w:rPr>
              <w:t>肌</w:t>
            </w:r>
            <w:proofErr w:type="gramEnd"/>
            <w:r w:rsidRPr="00816CBE">
              <w:rPr>
                <w:rFonts w:ascii="仿宋" w:eastAsia="仿宋" w:hAnsi="仿宋" w:cstheme="minorEastAsia" w:hint="eastAsia"/>
                <w:color w:val="000000" w:themeColor="text1"/>
                <w:sz w:val="24"/>
              </w:rPr>
              <w:t>水平精准度≤0.1毫米，且无需定期更换检测配件。</w:t>
            </w:r>
          </w:p>
        </w:tc>
      </w:tr>
      <w:tr w:rsidR="001D74DE" w:rsidTr="001D74DE">
        <w:trPr>
          <w:trHeight w:val="871"/>
        </w:trPr>
        <w:tc>
          <w:tcPr>
            <w:tcW w:w="709" w:type="dxa"/>
            <w:vAlign w:val="center"/>
          </w:tcPr>
          <w:p w:rsidR="001D74DE" w:rsidRPr="0005154E" w:rsidRDefault="001D74DE">
            <w:pPr>
              <w:jc w:val="center"/>
              <w:rPr>
                <w:rFonts w:ascii="仿宋" w:eastAsia="仿宋" w:hAnsi="仿宋"/>
                <w:sz w:val="24"/>
              </w:rPr>
            </w:pPr>
            <w:r>
              <w:rPr>
                <w:rFonts w:ascii="仿宋" w:eastAsia="仿宋" w:hAnsi="仿宋" w:hint="eastAsia"/>
                <w:sz w:val="24"/>
              </w:rPr>
              <w:t>11</w:t>
            </w:r>
          </w:p>
        </w:tc>
        <w:tc>
          <w:tcPr>
            <w:tcW w:w="1100" w:type="dxa"/>
            <w:vAlign w:val="center"/>
          </w:tcPr>
          <w:p w:rsidR="001D74DE" w:rsidRPr="0005154E" w:rsidRDefault="001D74DE" w:rsidP="0005154E">
            <w:pPr>
              <w:widowControl/>
              <w:jc w:val="center"/>
              <w:rPr>
                <w:rFonts w:ascii="仿宋" w:eastAsia="仿宋" w:hAnsi="仿宋"/>
                <w:sz w:val="24"/>
              </w:rPr>
            </w:pPr>
          </w:p>
        </w:tc>
        <w:tc>
          <w:tcPr>
            <w:tcW w:w="1701" w:type="dxa"/>
            <w:vAlign w:val="center"/>
          </w:tcPr>
          <w:p w:rsidR="001D74DE" w:rsidRDefault="001D74DE">
            <w:pPr>
              <w:widowControl/>
              <w:spacing w:line="360" w:lineRule="auto"/>
              <w:jc w:val="center"/>
              <w:rPr>
                <w:rFonts w:ascii="宋体" w:hAnsi="宋体"/>
              </w:rPr>
            </w:pPr>
            <w:r w:rsidRPr="004C7A55">
              <w:rPr>
                <w:rFonts w:asciiTheme="minorEastAsia" w:eastAsiaTheme="minorEastAsia" w:hAnsiTheme="minorEastAsia" w:cstheme="minorEastAsia" w:hint="eastAsia"/>
                <w:color w:val="000000" w:themeColor="text1"/>
                <w:sz w:val="24"/>
              </w:rPr>
              <w:t>▲</w:t>
            </w:r>
          </w:p>
        </w:tc>
        <w:tc>
          <w:tcPr>
            <w:tcW w:w="4962" w:type="dxa"/>
            <w:vAlign w:val="center"/>
          </w:tcPr>
          <w:p w:rsidR="001D74DE" w:rsidRPr="00816CBE" w:rsidRDefault="001D74DE" w:rsidP="002D6A48">
            <w:pPr>
              <w:wordWrap w:val="0"/>
              <w:topLinePunct/>
              <w:adjustRightInd w:val="0"/>
              <w:snapToGrid w:val="0"/>
              <w:spacing w:line="276" w:lineRule="auto"/>
              <w:jc w:val="left"/>
              <w:rPr>
                <w:rFonts w:ascii="仿宋" w:eastAsia="仿宋" w:hAnsi="仿宋" w:cs="华文细黑"/>
                <w:color w:val="000000"/>
                <w:kern w:val="0"/>
                <w:sz w:val="24"/>
                <w:lang w:bidi="ar"/>
              </w:rPr>
            </w:pPr>
            <w:bookmarkStart w:id="2" w:name="_GoBack"/>
            <w:bookmarkEnd w:id="2"/>
            <w:r w:rsidRPr="00816CBE">
              <w:rPr>
                <w:rFonts w:ascii="仿宋" w:eastAsia="仿宋" w:hAnsi="仿宋" w:cstheme="minorEastAsia" w:hint="eastAsia"/>
                <w:color w:val="000000" w:themeColor="text1"/>
                <w:sz w:val="24"/>
              </w:rPr>
              <w:t>配置原厂双通道运动诱发电位检测模块，采集模块集成于主机内部，直接由主机供电，避免突然断电导致数据丢失。</w:t>
            </w:r>
          </w:p>
        </w:tc>
      </w:tr>
      <w:tr w:rsidR="001D74DE" w:rsidTr="001D74DE">
        <w:trPr>
          <w:trHeight w:val="1124"/>
        </w:trPr>
        <w:tc>
          <w:tcPr>
            <w:tcW w:w="709" w:type="dxa"/>
            <w:vAlign w:val="center"/>
          </w:tcPr>
          <w:p w:rsidR="001D74DE" w:rsidRDefault="001D74DE">
            <w:pPr>
              <w:jc w:val="center"/>
              <w:rPr>
                <w:rFonts w:ascii="宋体" w:hAnsi="宋体"/>
              </w:rPr>
            </w:pPr>
            <w:r>
              <w:rPr>
                <w:rFonts w:ascii="宋体" w:hAnsi="宋体" w:hint="eastAsia"/>
              </w:rPr>
              <w:t>12</w:t>
            </w:r>
          </w:p>
        </w:tc>
        <w:tc>
          <w:tcPr>
            <w:tcW w:w="1100" w:type="dxa"/>
            <w:vAlign w:val="center"/>
          </w:tcPr>
          <w:p w:rsidR="001D74DE" w:rsidRDefault="001D74DE" w:rsidP="00A92CB7">
            <w:pPr>
              <w:widowControl/>
              <w:rPr>
                <w:rFonts w:ascii="宋体" w:hAnsi="宋体"/>
              </w:rPr>
            </w:pPr>
          </w:p>
        </w:tc>
        <w:tc>
          <w:tcPr>
            <w:tcW w:w="1701" w:type="dxa"/>
            <w:vAlign w:val="center"/>
          </w:tcPr>
          <w:p w:rsidR="001D74DE" w:rsidRDefault="001D74DE">
            <w:pPr>
              <w:widowControl/>
              <w:spacing w:line="360" w:lineRule="auto"/>
              <w:jc w:val="center"/>
              <w:rPr>
                <w:rFonts w:ascii="宋体" w:hAnsi="宋体"/>
              </w:rPr>
            </w:pP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具有磁刺激、助力磁刺激、触发磁刺激、</w:t>
            </w:r>
            <w:proofErr w:type="spellStart"/>
            <w:r w:rsidRPr="00816CBE">
              <w:rPr>
                <w:rFonts w:ascii="仿宋" w:eastAsia="仿宋" w:hAnsi="仿宋" w:cstheme="minorEastAsia" w:hint="eastAsia"/>
                <w:color w:val="000000" w:themeColor="text1"/>
                <w:sz w:val="24"/>
              </w:rPr>
              <w:t>kegel</w:t>
            </w:r>
            <w:proofErr w:type="spellEnd"/>
            <w:r w:rsidRPr="00816CBE">
              <w:rPr>
                <w:rFonts w:ascii="仿宋" w:eastAsia="仿宋" w:hAnsi="仿宋" w:cstheme="minorEastAsia" w:hint="eastAsia"/>
                <w:color w:val="000000" w:themeColor="text1"/>
                <w:sz w:val="24"/>
              </w:rPr>
              <w:t>训练、多媒体训练等多种体外主动和被动训练功能</w:t>
            </w:r>
            <w:bookmarkStart w:id="3" w:name="OLE_LINK11"/>
            <w:bookmarkStart w:id="4" w:name="OLE_LINK12"/>
            <w:r w:rsidRPr="00816CBE">
              <w:rPr>
                <w:rFonts w:ascii="仿宋" w:eastAsia="仿宋" w:hAnsi="仿宋" w:cstheme="minorEastAsia" w:hint="eastAsia"/>
                <w:color w:val="000000" w:themeColor="text1"/>
                <w:sz w:val="24"/>
              </w:rPr>
              <w:t>。具有体外评估功能，可用于评估盆底</w:t>
            </w:r>
            <w:proofErr w:type="gramStart"/>
            <w:r w:rsidRPr="00816CBE">
              <w:rPr>
                <w:rFonts w:ascii="仿宋" w:eastAsia="仿宋" w:hAnsi="仿宋" w:cstheme="minorEastAsia" w:hint="eastAsia"/>
                <w:color w:val="000000" w:themeColor="text1"/>
                <w:sz w:val="24"/>
              </w:rPr>
              <w:t>肌</w:t>
            </w:r>
            <w:proofErr w:type="gramEnd"/>
            <w:r w:rsidRPr="00816CBE">
              <w:rPr>
                <w:rFonts w:ascii="仿宋" w:eastAsia="仿宋" w:hAnsi="仿宋" w:cstheme="minorEastAsia" w:hint="eastAsia"/>
                <w:color w:val="000000" w:themeColor="text1"/>
                <w:sz w:val="24"/>
              </w:rPr>
              <w:t>运动水平。</w:t>
            </w:r>
            <w:bookmarkEnd w:id="3"/>
            <w:bookmarkEnd w:id="4"/>
          </w:p>
        </w:tc>
      </w:tr>
      <w:tr w:rsidR="001D74DE" w:rsidTr="001D74DE">
        <w:trPr>
          <w:trHeight w:val="1126"/>
        </w:trPr>
        <w:tc>
          <w:tcPr>
            <w:tcW w:w="709" w:type="dxa"/>
            <w:vAlign w:val="center"/>
          </w:tcPr>
          <w:p w:rsidR="001D74DE" w:rsidRDefault="001D74DE">
            <w:pPr>
              <w:jc w:val="center"/>
              <w:rPr>
                <w:rFonts w:ascii="宋体" w:hAnsi="宋体"/>
              </w:rPr>
            </w:pPr>
            <w:r>
              <w:rPr>
                <w:rFonts w:ascii="宋体" w:hAnsi="宋体" w:hint="eastAsia"/>
              </w:rPr>
              <w:t>13</w:t>
            </w:r>
          </w:p>
        </w:tc>
        <w:tc>
          <w:tcPr>
            <w:tcW w:w="1100" w:type="dxa"/>
            <w:vAlign w:val="center"/>
          </w:tcPr>
          <w:p w:rsidR="001D74DE" w:rsidRDefault="001D74DE">
            <w:pPr>
              <w:widowControl/>
              <w:jc w:val="center"/>
              <w:rPr>
                <w:rFonts w:ascii="宋体" w:hAnsi="宋体"/>
              </w:rPr>
            </w:pPr>
          </w:p>
        </w:tc>
        <w:tc>
          <w:tcPr>
            <w:tcW w:w="1701" w:type="dxa"/>
            <w:vAlign w:val="center"/>
          </w:tcPr>
          <w:p w:rsidR="001D74DE" w:rsidRDefault="001D74DE">
            <w:pPr>
              <w:widowControl/>
              <w:spacing w:line="360" w:lineRule="auto"/>
              <w:jc w:val="center"/>
              <w:rPr>
                <w:rFonts w:ascii="宋体" w:hAnsi="宋体"/>
              </w:rPr>
            </w:pP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系统可根据盆底评估结果自动生成针对不同患者的组合治疗方案，支持自动生成磁、电联合治疗方案，可实现数据同步。</w:t>
            </w:r>
          </w:p>
        </w:tc>
      </w:tr>
      <w:tr w:rsidR="001D74DE" w:rsidTr="001D74DE">
        <w:trPr>
          <w:trHeight w:val="819"/>
        </w:trPr>
        <w:tc>
          <w:tcPr>
            <w:tcW w:w="709" w:type="dxa"/>
            <w:vAlign w:val="center"/>
          </w:tcPr>
          <w:p w:rsidR="001D74DE" w:rsidRPr="00E232C5" w:rsidRDefault="001D74DE">
            <w:pPr>
              <w:jc w:val="center"/>
              <w:rPr>
                <w:rFonts w:ascii="宋体" w:hAnsi="宋体"/>
              </w:rPr>
            </w:pPr>
            <w:r>
              <w:rPr>
                <w:rFonts w:ascii="宋体" w:hAnsi="宋体" w:hint="eastAsia"/>
              </w:rPr>
              <w:t>14</w:t>
            </w:r>
          </w:p>
        </w:tc>
        <w:tc>
          <w:tcPr>
            <w:tcW w:w="1100" w:type="dxa"/>
            <w:vAlign w:val="center"/>
          </w:tcPr>
          <w:p w:rsidR="001D74DE" w:rsidRDefault="001D74DE">
            <w:pPr>
              <w:widowControl/>
              <w:jc w:val="center"/>
              <w:rPr>
                <w:rFonts w:ascii="宋体" w:hAnsi="宋体"/>
              </w:rPr>
            </w:pPr>
          </w:p>
        </w:tc>
        <w:tc>
          <w:tcPr>
            <w:tcW w:w="1701" w:type="dxa"/>
            <w:vAlign w:val="center"/>
          </w:tcPr>
          <w:p w:rsidR="001D74DE" w:rsidRDefault="001D74DE">
            <w:pPr>
              <w:widowControl/>
              <w:spacing w:line="360" w:lineRule="auto"/>
              <w:jc w:val="center"/>
              <w:rPr>
                <w:rFonts w:ascii="宋体" w:hAnsi="宋体"/>
              </w:rPr>
            </w:pPr>
          </w:p>
        </w:tc>
        <w:tc>
          <w:tcPr>
            <w:tcW w:w="4962" w:type="dxa"/>
            <w:vAlign w:val="center"/>
          </w:tcPr>
          <w:p w:rsidR="001D74DE" w:rsidRPr="00816CBE" w:rsidRDefault="001D74DE" w:rsidP="00816CBE">
            <w:pPr>
              <w:widowControl/>
              <w:spacing w:line="276" w:lineRule="auto"/>
              <w:jc w:val="left"/>
              <w:rPr>
                <w:rFonts w:ascii="仿宋" w:eastAsia="仿宋" w:hAnsi="仿宋" w:cs="华文细黑"/>
                <w:color w:val="000000"/>
                <w:kern w:val="0"/>
                <w:sz w:val="24"/>
                <w:lang w:bidi="ar"/>
              </w:rPr>
            </w:pPr>
            <w:r w:rsidRPr="00816CBE">
              <w:rPr>
                <w:rFonts w:ascii="仿宋" w:eastAsia="仿宋" w:hAnsi="仿宋" w:cstheme="minorEastAsia" w:hint="eastAsia"/>
                <w:color w:val="000000" w:themeColor="text1"/>
                <w:sz w:val="24"/>
              </w:rPr>
              <w:t>治疗过程中可对刺激强度进行连续调节，同时显示方案的输出进程，已完成</w:t>
            </w:r>
            <w:r>
              <w:rPr>
                <w:rFonts w:ascii="仿宋" w:eastAsia="仿宋" w:hAnsi="仿宋" w:cstheme="minorEastAsia" w:hint="eastAsia"/>
                <w:color w:val="000000" w:themeColor="text1"/>
                <w:sz w:val="24"/>
              </w:rPr>
              <w:t>及</w:t>
            </w:r>
            <w:r w:rsidRPr="00816CBE">
              <w:rPr>
                <w:rFonts w:ascii="仿宋" w:eastAsia="仿宋" w:hAnsi="仿宋" w:cstheme="minorEastAsia" w:hint="eastAsia"/>
                <w:color w:val="000000" w:themeColor="text1"/>
                <w:sz w:val="24"/>
              </w:rPr>
              <w:t>剩余脉冲个数及刺激时间。</w:t>
            </w:r>
          </w:p>
        </w:tc>
      </w:tr>
      <w:tr w:rsidR="001D74DE" w:rsidTr="001D74DE">
        <w:trPr>
          <w:trHeight w:val="1146"/>
        </w:trPr>
        <w:tc>
          <w:tcPr>
            <w:tcW w:w="709" w:type="dxa"/>
            <w:vAlign w:val="center"/>
          </w:tcPr>
          <w:p w:rsidR="001D74DE" w:rsidRDefault="001D74DE">
            <w:pPr>
              <w:jc w:val="center"/>
              <w:rPr>
                <w:rFonts w:ascii="宋体" w:hAnsi="宋体"/>
              </w:rPr>
            </w:pPr>
            <w:r>
              <w:rPr>
                <w:rFonts w:ascii="宋体" w:hAnsi="宋体" w:hint="eastAsia"/>
              </w:rPr>
              <w:t>15</w:t>
            </w:r>
          </w:p>
        </w:tc>
        <w:tc>
          <w:tcPr>
            <w:tcW w:w="1100" w:type="dxa"/>
            <w:vAlign w:val="center"/>
          </w:tcPr>
          <w:p w:rsidR="001D74DE" w:rsidRDefault="001D74DE" w:rsidP="00A92CB7">
            <w:pPr>
              <w:widowControl/>
              <w:rPr>
                <w:rFonts w:ascii="宋体" w:hAnsi="宋体"/>
              </w:rPr>
            </w:pPr>
          </w:p>
        </w:tc>
        <w:tc>
          <w:tcPr>
            <w:tcW w:w="1701" w:type="dxa"/>
            <w:vAlign w:val="center"/>
          </w:tcPr>
          <w:p w:rsidR="001D74DE" w:rsidRDefault="001D74DE">
            <w:pPr>
              <w:widowControl/>
              <w:spacing w:line="360" w:lineRule="auto"/>
              <w:jc w:val="center"/>
              <w:rPr>
                <w:rFonts w:ascii="宋体" w:hAnsi="宋体"/>
              </w:rPr>
            </w:pPr>
          </w:p>
        </w:tc>
        <w:tc>
          <w:tcPr>
            <w:tcW w:w="4962" w:type="dxa"/>
            <w:vAlign w:val="center"/>
          </w:tcPr>
          <w:p w:rsidR="001D74DE" w:rsidRPr="00816CBE" w:rsidRDefault="001D74DE" w:rsidP="00816CBE">
            <w:pPr>
              <w:wordWrap w:val="0"/>
              <w:topLinePunct/>
              <w:adjustRightInd w:val="0"/>
              <w:snapToGrid w:val="0"/>
              <w:spacing w:line="276" w:lineRule="auto"/>
              <w:jc w:val="left"/>
              <w:rPr>
                <w:rFonts w:ascii="仿宋" w:eastAsia="仿宋" w:hAnsi="仿宋" w:cs="华文细黑"/>
                <w:color w:val="000000"/>
                <w:sz w:val="24"/>
                <w:lang w:bidi="ar"/>
              </w:rPr>
            </w:pPr>
            <w:r w:rsidRPr="00816CBE">
              <w:rPr>
                <w:rFonts w:ascii="仿宋" w:eastAsia="仿宋" w:hAnsi="仿宋" w:cstheme="minorEastAsia" w:hint="eastAsia"/>
                <w:color w:val="000000" w:themeColor="text1"/>
                <w:sz w:val="24"/>
              </w:rPr>
              <w:t>刺激方案具有患者体位示意图，提示患者磁刺激刺激部位或摆放姿势体位，更有效的指导患者配合治疗。</w:t>
            </w:r>
          </w:p>
        </w:tc>
      </w:tr>
      <w:tr w:rsidR="001D74DE" w:rsidTr="001D74DE">
        <w:trPr>
          <w:trHeight w:val="1144"/>
        </w:trPr>
        <w:tc>
          <w:tcPr>
            <w:tcW w:w="709" w:type="dxa"/>
            <w:vAlign w:val="center"/>
          </w:tcPr>
          <w:p w:rsidR="001D74DE" w:rsidRDefault="001D74DE">
            <w:pPr>
              <w:jc w:val="center"/>
              <w:rPr>
                <w:rFonts w:ascii="宋体" w:hAnsi="宋体"/>
              </w:rPr>
            </w:pPr>
            <w:r>
              <w:rPr>
                <w:rFonts w:ascii="宋体" w:hAnsi="宋体" w:hint="eastAsia"/>
              </w:rPr>
              <w:lastRenderedPageBreak/>
              <w:t>16</w:t>
            </w:r>
          </w:p>
        </w:tc>
        <w:tc>
          <w:tcPr>
            <w:tcW w:w="1100" w:type="dxa"/>
            <w:vAlign w:val="center"/>
          </w:tcPr>
          <w:p w:rsidR="001D74DE" w:rsidRDefault="001D74DE">
            <w:pPr>
              <w:widowControl/>
              <w:jc w:val="center"/>
              <w:rPr>
                <w:rFonts w:ascii="宋体" w:hAnsi="宋体"/>
              </w:rPr>
            </w:pPr>
          </w:p>
        </w:tc>
        <w:tc>
          <w:tcPr>
            <w:tcW w:w="1701" w:type="dxa"/>
            <w:vAlign w:val="center"/>
          </w:tcPr>
          <w:p w:rsidR="001D74DE" w:rsidRDefault="001D74DE" w:rsidP="00446C04">
            <w:pPr>
              <w:widowControl/>
              <w:spacing w:line="360" w:lineRule="auto"/>
              <w:jc w:val="center"/>
              <w:rPr>
                <w:rFonts w:ascii="宋体" w:hAnsi="宋体"/>
              </w:rPr>
            </w:pPr>
          </w:p>
        </w:tc>
        <w:tc>
          <w:tcPr>
            <w:tcW w:w="4962" w:type="dxa"/>
            <w:vAlign w:val="center"/>
          </w:tcPr>
          <w:p w:rsidR="001D74DE" w:rsidRPr="00816CBE" w:rsidRDefault="001D74DE" w:rsidP="00816CBE">
            <w:pPr>
              <w:pStyle w:val="a9"/>
              <w:widowControl/>
              <w:spacing w:before="0" w:beforeAutospacing="0" w:after="0" w:afterAutospacing="0" w:line="276" w:lineRule="auto"/>
              <w:rPr>
                <w:rFonts w:ascii="仿宋" w:eastAsia="仿宋" w:hAnsi="仿宋"/>
              </w:rPr>
            </w:pPr>
            <w:r w:rsidRPr="00816CBE">
              <w:rPr>
                <w:rFonts w:ascii="仿宋" w:eastAsia="仿宋" w:hAnsi="仿宋" w:cstheme="minorEastAsia" w:hint="eastAsia"/>
                <w:color w:val="000000" w:themeColor="text1"/>
              </w:rPr>
              <w:t>具有数据管理功能，可以对工作量等治疗数据进行统计分析，还可以回顾数据结果、波形，实现病历管理或病历导出</w:t>
            </w:r>
            <w:r>
              <w:rPr>
                <w:rFonts w:ascii="仿宋" w:eastAsia="仿宋" w:hAnsi="仿宋" w:cstheme="minorEastAsia" w:hint="eastAsia"/>
                <w:color w:val="000000" w:themeColor="text1"/>
              </w:rPr>
              <w:t>。</w:t>
            </w:r>
          </w:p>
        </w:tc>
      </w:tr>
    </w:tbl>
    <w:p w:rsidR="000C498D" w:rsidRDefault="000C498D" w:rsidP="00D27775">
      <w:pPr>
        <w:spacing w:beforeLines="50" w:before="156" w:line="360" w:lineRule="auto"/>
        <w:ind w:firstLineChars="196" w:firstLine="413"/>
        <w:outlineLvl w:val="0"/>
        <w:rPr>
          <w:rFonts w:ascii="宋体" w:hAnsi="宋体"/>
          <w:b/>
        </w:rPr>
      </w:pPr>
    </w:p>
    <w:p w:rsidR="00DB4F5C" w:rsidRDefault="002A3AD4" w:rsidP="00D27775">
      <w:pPr>
        <w:spacing w:beforeLines="50" w:before="156" w:line="360" w:lineRule="auto"/>
        <w:ind w:firstLineChars="196" w:firstLine="413"/>
        <w:outlineLvl w:val="0"/>
        <w:rPr>
          <w:rFonts w:ascii="宋体" w:hAnsi="宋体"/>
          <w:b/>
        </w:rPr>
      </w:pPr>
      <w:r>
        <w:rPr>
          <w:rFonts w:ascii="宋体" w:hAnsi="宋体" w:hint="eastAsia"/>
          <w:b/>
        </w:rPr>
        <w:t>五、商务和服务需求</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76"/>
        <w:gridCol w:w="1134"/>
        <w:gridCol w:w="5167"/>
      </w:tblGrid>
      <w:tr w:rsidR="00DB4F5C">
        <w:trPr>
          <w:trHeight w:val="520"/>
          <w:jc w:val="center"/>
        </w:trPr>
        <w:tc>
          <w:tcPr>
            <w:tcW w:w="771"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序号</w:t>
            </w:r>
          </w:p>
        </w:tc>
        <w:tc>
          <w:tcPr>
            <w:tcW w:w="1776"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商务和服务项目</w:t>
            </w:r>
          </w:p>
        </w:tc>
        <w:tc>
          <w:tcPr>
            <w:tcW w:w="1134"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重要性</w:t>
            </w:r>
          </w:p>
        </w:tc>
        <w:tc>
          <w:tcPr>
            <w:tcW w:w="5167"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商务和服务要求</w:t>
            </w:r>
          </w:p>
        </w:tc>
      </w:tr>
      <w:tr w:rsidR="00DB4F5C">
        <w:trPr>
          <w:trHeight w:val="50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1</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供货期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Pr="00DC4D38" w:rsidRDefault="002A3AD4" w:rsidP="00DC4D38">
            <w:pPr>
              <w:adjustRightInd w:val="0"/>
              <w:snapToGrid w:val="0"/>
              <w:spacing w:line="380" w:lineRule="exact"/>
              <w:rPr>
                <w:rFonts w:ascii="仿宋" w:eastAsia="仿宋" w:hAnsi="仿宋" w:cs="仿宋"/>
                <w:szCs w:val="21"/>
              </w:rPr>
            </w:pPr>
            <w:r>
              <w:rPr>
                <w:rFonts w:ascii="仿宋" w:eastAsia="仿宋" w:hAnsi="仿宋" w:cs="仿宋" w:hint="eastAsia"/>
                <w:szCs w:val="21"/>
              </w:rPr>
              <w:t>合同生效后</w:t>
            </w:r>
            <w:r w:rsidR="00DC4D38">
              <w:rPr>
                <w:rFonts w:ascii="仿宋" w:eastAsia="仿宋" w:hAnsi="仿宋" w:cs="仿宋" w:hint="eastAsia"/>
                <w:szCs w:val="21"/>
              </w:rPr>
              <w:t>两</w:t>
            </w:r>
            <w:r>
              <w:rPr>
                <w:rFonts w:ascii="仿宋" w:eastAsia="仿宋" w:hAnsi="仿宋" w:cs="仿宋" w:hint="eastAsia"/>
                <w:szCs w:val="21"/>
              </w:rPr>
              <w:t>个月内</w:t>
            </w:r>
          </w:p>
        </w:tc>
      </w:tr>
      <w:tr w:rsidR="00DB4F5C">
        <w:trPr>
          <w:trHeight w:val="485"/>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2</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rPr>
              <w:t>保修期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vAlign w:val="center"/>
          </w:tcPr>
          <w:p w:rsidR="00DB4F5C" w:rsidRDefault="007161F6" w:rsidP="0070499D">
            <w:pPr>
              <w:autoSpaceDE w:val="0"/>
              <w:autoSpaceDN w:val="0"/>
              <w:adjustRightInd w:val="0"/>
              <w:snapToGrid w:val="0"/>
              <w:jc w:val="left"/>
              <w:rPr>
                <w:rFonts w:ascii="仿宋" w:eastAsia="仿宋" w:hAnsi="仿宋" w:cs="仿宋"/>
                <w:snapToGrid w:val="0"/>
                <w:kern w:val="0"/>
                <w:szCs w:val="21"/>
                <w:lang w:val="zh-CN"/>
              </w:rPr>
            </w:pPr>
            <w:r w:rsidRPr="009C0EE4">
              <w:rPr>
                <w:rFonts w:ascii="仿宋" w:eastAsia="仿宋" w:hAnsi="仿宋" w:cs="宋体" w:hint="eastAsia"/>
                <w:snapToGrid w:val="0"/>
                <w:kern w:val="0"/>
                <w:szCs w:val="21"/>
              </w:rPr>
              <w:t>3</w:t>
            </w:r>
            <w:r w:rsidR="009B2FF9" w:rsidRPr="009C0EE4">
              <w:rPr>
                <w:rFonts w:ascii="仿宋" w:eastAsia="仿宋" w:hAnsi="仿宋" w:cs="宋体" w:hint="eastAsia"/>
                <w:snapToGrid w:val="0"/>
                <w:kern w:val="0"/>
                <w:szCs w:val="21"/>
              </w:rPr>
              <w:t xml:space="preserve"> </w:t>
            </w:r>
            <w:r w:rsidR="004C00AA" w:rsidRPr="009B2FF9">
              <w:rPr>
                <w:rFonts w:ascii="仿宋" w:eastAsia="仿宋" w:hAnsi="仿宋" w:cs="仿宋" w:hint="eastAsia"/>
                <w:snapToGrid w:val="0"/>
                <w:kern w:val="0"/>
                <w:szCs w:val="21"/>
              </w:rPr>
              <w:t>年</w:t>
            </w:r>
          </w:p>
        </w:tc>
      </w:tr>
      <w:tr w:rsidR="00DB4F5C" w:rsidTr="00366A4D">
        <w:trPr>
          <w:trHeight w:val="557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3</w:t>
            </w:r>
          </w:p>
        </w:tc>
        <w:tc>
          <w:tcPr>
            <w:tcW w:w="1776"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原厂售后</w:t>
            </w:r>
          </w:p>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服务承诺</w:t>
            </w:r>
          </w:p>
        </w:tc>
        <w:tc>
          <w:tcPr>
            <w:tcW w:w="1134"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（1）在保修期内，如有损坏或质量不合格者，卖方应及时给予修复和更换，其修理和更换应免费。正常修理周期和修理期间需提供免费测试。</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（2）在保修期期满前一个月，供应商必须指派专业人员上门检测仪器，确保仪器的指标符合验收标准，如有问题应作为保修内容给予免费处理。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（3）</w:t>
            </w:r>
            <w:r>
              <w:rPr>
                <w:rFonts w:ascii="仿宋" w:eastAsia="仿宋" w:hAnsi="仿宋" w:cs="仿宋"/>
                <w:snapToGrid w:val="0"/>
                <w:kern w:val="0"/>
                <w:szCs w:val="21"/>
              </w:rPr>
              <w:t>在保修期外，卖方为仪器提供终身维修服务，维修问题出现时</w:t>
            </w:r>
            <w:r>
              <w:rPr>
                <w:rFonts w:ascii="仿宋" w:eastAsia="仿宋" w:hAnsi="仿宋" w:cs="仿宋" w:hint="eastAsia"/>
                <w:snapToGrid w:val="0"/>
                <w:kern w:val="0"/>
                <w:szCs w:val="21"/>
              </w:rPr>
              <w:t>，按技术参数服务要求</w:t>
            </w:r>
            <w:r>
              <w:rPr>
                <w:rFonts w:ascii="仿宋" w:eastAsia="仿宋" w:hAnsi="仿宋" w:cs="仿宋"/>
                <w:snapToGrid w:val="0"/>
                <w:kern w:val="0"/>
                <w:szCs w:val="21"/>
              </w:rPr>
              <w:t>相应条款</w:t>
            </w:r>
            <w:r>
              <w:rPr>
                <w:rFonts w:ascii="仿宋" w:eastAsia="仿宋" w:hAnsi="仿宋" w:cs="仿宋" w:hint="eastAsia"/>
                <w:snapToGrid w:val="0"/>
                <w:kern w:val="0"/>
                <w:szCs w:val="21"/>
              </w:rPr>
              <w:t>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（4）在保修期内，如果原厂方鉴定设备因为人为损坏，厂方须出具</w:t>
            </w:r>
            <w:r>
              <w:rPr>
                <w:rFonts w:ascii="仿宋" w:eastAsia="仿宋" w:hAnsi="仿宋" w:cs="仿宋"/>
                <w:snapToGrid w:val="0"/>
                <w:kern w:val="0"/>
                <w:szCs w:val="21"/>
              </w:rPr>
              <w:t>具有法定权威性</w:t>
            </w:r>
            <w:r>
              <w:rPr>
                <w:rFonts w:ascii="仿宋" w:eastAsia="仿宋" w:hAnsi="仿宋" w:cs="仿宋" w:hint="eastAsia"/>
                <w:snapToGrid w:val="0"/>
                <w:kern w:val="0"/>
                <w:szCs w:val="21"/>
              </w:rPr>
              <w:t>第三方检测证明，否则一律视为保修范围内</w:t>
            </w:r>
            <w:r>
              <w:rPr>
                <w:rFonts w:ascii="仿宋" w:eastAsia="仿宋" w:hAnsi="仿宋" w:cs="仿宋"/>
                <w:snapToGrid w:val="0"/>
                <w:kern w:val="0"/>
                <w:szCs w:val="21"/>
              </w:rPr>
              <w:t>容</w:t>
            </w:r>
            <w:r>
              <w:rPr>
                <w:rFonts w:ascii="仿宋" w:eastAsia="仿宋" w:hAnsi="仿宋" w:cs="仿宋" w:hint="eastAsia"/>
                <w:snapToGrid w:val="0"/>
                <w:kern w:val="0"/>
                <w:szCs w:val="21"/>
              </w:rPr>
              <w:t>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5）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lang w:val="zh-CN"/>
              </w:rPr>
            </w:pPr>
            <w:r>
              <w:rPr>
                <w:rFonts w:ascii="仿宋" w:eastAsia="仿宋" w:hAnsi="仿宋" w:cs="仿宋" w:hint="eastAsia"/>
                <w:snapToGrid w:val="0"/>
                <w:kern w:val="0"/>
                <w:szCs w:val="21"/>
              </w:rPr>
              <w:t>（6）终身提供免费的应用咨询及技术帮助。</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4</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培训</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B1E69">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按照技术参数内的要求进行培训</w:t>
            </w:r>
            <w:r w:rsidR="00CB1E69">
              <w:rPr>
                <w:rFonts w:ascii="仿宋" w:eastAsia="仿宋" w:hAnsi="仿宋" w:cs="仿宋" w:hint="eastAsia"/>
                <w:snapToGrid w:val="0"/>
                <w:kern w:val="0"/>
                <w:szCs w:val="21"/>
              </w:rPr>
              <w:t>至使用人员可以独立操作</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5</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验收标准</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按供货方合格证书技术资料中的精度、质量要求和双方签订的合同技术附件所规定的条款进行验收。</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6</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交货地点</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70499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江苏大学附属医院</w:t>
            </w:r>
            <w:r w:rsidR="0070499D">
              <w:rPr>
                <w:rFonts w:ascii="仿宋" w:eastAsia="仿宋" w:hAnsi="仿宋" w:cs="仿宋" w:hint="eastAsia"/>
                <w:snapToGrid w:val="0"/>
                <w:kern w:val="0"/>
                <w:szCs w:val="21"/>
              </w:rPr>
              <w:t>母婴</w:t>
            </w:r>
            <w:r w:rsidR="00A07C34">
              <w:rPr>
                <w:rFonts w:ascii="仿宋" w:eastAsia="仿宋" w:hAnsi="仿宋" w:cs="仿宋" w:hint="eastAsia"/>
                <w:snapToGrid w:val="0"/>
                <w:kern w:val="0"/>
                <w:szCs w:val="21"/>
              </w:rPr>
              <w:t>楼</w:t>
            </w:r>
            <w:r w:rsidR="0070499D">
              <w:rPr>
                <w:rFonts w:ascii="仿宋" w:eastAsia="仿宋" w:hAnsi="仿宋" w:cs="仿宋" w:hint="eastAsia"/>
                <w:snapToGrid w:val="0"/>
                <w:kern w:val="0"/>
                <w:szCs w:val="21"/>
              </w:rPr>
              <w:t>3</w:t>
            </w:r>
            <w:r w:rsidR="004C213D">
              <w:rPr>
                <w:rFonts w:ascii="仿宋" w:eastAsia="仿宋" w:hAnsi="仿宋" w:cs="仿宋" w:hint="eastAsia"/>
                <w:snapToGrid w:val="0"/>
                <w:kern w:val="0"/>
                <w:szCs w:val="21"/>
              </w:rPr>
              <w:t>楼</w:t>
            </w:r>
            <w:r w:rsidR="0070499D">
              <w:rPr>
                <w:rFonts w:ascii="仿宋" w:eastAsia="仿宋" w:hAnsi="仿宋" w:cs="仿宋" w:hint="eastAsia"/>
                <w:snapToGrid w:val="0"/>
                <w:kern w:val="0"/>
                <w:szCs w:val="21"/>
              </w:rPr>
              <w:t>产后康复</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7</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设备安装场地测试要求</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4B691D"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中</w:t>
            </w:r>
            <w:r w:rsidR="004C213D">
              <w:rPr>
                <w:rFonts w:ascii="仿宋" w:eastAsia="仿宋" w:hAnsi="仿宋" w:cs="仿宋" w:hint="eastAsia"/>
                <w:snapToGrid w:val="0"/>
                <w:kern w:val="0"/>
                <w:szCs w:val="21"/>
              </w:rPr>
              <w:t>标厂商需提前现场勘察</w:t>
            </w:r>
            <w:r w:rsidR="0070499D">
              <w:rPr>
                <w:rFonts w:ascii="仿宋" w:eastAsia="仿宋" w:hAnsi="仿宋" w:cs="仿宋" w:hint="eastAsia"/>
                <w:snapToGrid w:val="0"/>
                <w:kern w:val="0"/>
                <w:szCs w:val="21"/>
              </w:rPr>
              <w:t>产后康复</w:t>
            </w:r>
            <w:r w:rsidR="004C213D">
              <w:rPr>
                <w:rFonts w:ascii="仿宋" w:eastAsia="仿宋" w:hAnsi="仿宋" w:cs="仿宋" w:hint="eastAsia"/>
                <w:snapToGrid w:val="0"/>
                <w:kern w:val="0"/>
                <w:szCs w:val="21"/>
              </w:rPr>
              <w:t>安装场地</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8</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设备安装调试</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按照技术参数内设备安装调试要求</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lastRenderedPageBreak/>
              <w:t>9</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付款方式</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货到安装、验收合格并能够正常使用后，凭甲方出具的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验收合格报告，乙方提供发票及其它票据入库。甲方从</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入库之日起6个月内付80%货款；在设备能够保证临床</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正常稳定使用，且乙方已经履行本合同约定全部义务的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情况下，1年后3个月内乙方来院填写尾款付款证明，</w:t>
            </w:r>
          </w:p>
          <w:p w:rsidR="00DB4F5C" w:rsidRDefault="002A3AD4" w:rsidP="006D3120">
            <w:pPr>
              <w:spacing w:line="420" w:lineRule="exact"/>
              <w:ind w:left="420" w:hangingChars="200" w:hanging="420"/>
              <w:rPr>
                <w:rFonts w:ascii="仿宋" w:eastAsia="仿宋" w:hAnsi="仿宋" w:cs="仿宋"/>
                <w:snapToGrid w:val="0"/>
                <w:kern w:val="0"/>
                <w:szCs w:val="21"/>
                <w:lang w:val="zh-CN"/>
              </w:rPr>
            </w:pPr>
            <w:r>
              <w:rPr>
                <w:rFonts w:ascii="仿宋" w:eastAsia="仿宋" w:hAnsi="仿宋" w:cs="仿宋" w:hint="eastAsia"/>
                <w:snapToGrid w:val="0"/>
                <w:kern w:val="0"/>
                <w:szCs w:val="21"/>
              </w:rPr>
              <w:t>甲方付清2</w:t>
            </w:r>
            <w:r>
              <w:rPr>
                <w:rFonts w:ascii="仿宋" w:eastAsia="仿宋" w:hAnsi="仿宋" w:cs="仿宋"/>
                <w:snapToGrid w:val="0"/>
                <w:kern w:val="0"/>
                <w:szCs w:val="21"/>
              </w:rPr>
              <w:t>0%</w:t>
            </w:r>
            <w:r>
              <w:rPr>
                <w:rFonts w:ascii="仿宋" w:eastAsia="仿宋" w:hAnsi="仿宋" w:cs="仿宋" w:hint="eastAsia"/>
                <w:snapToGrid w:val="0"/>
                <w:kern w:val="0"/>
                <w:szCs w:val="21"/>
              </w:rPr>
              <w:t>货款。</w:t>
            </w:r>
          </w:p>
        </w:tc>
      </w:tr>
    </w:tbl>
    <w:p w:rsidR="0005154E" w:rsidRDefault="0005154E" w:rsidP="00D27775">
      <w:pPr>
        <w:spacing w:beforeLines="50" w:before="156" w:afterLines="50" w:after="156" w:line="360" w:lineRule="auto"/>
        <w:ind w:firstLine="493"/>
        <w:jc w:val="left"/>
        <w:outlineLvl w:val="0"/>
        <w:rPr>
          <w:rFonts w:ascii="宋体" w:hAnsi="宋体"/>
          <w:b/>
        </w:rPr>
      </w:pPr>
    </w:p>
    <w:p w:rsidR="00DB4F5C" w:rsidRDefault="002A3AD4" w:rsidP="00D27775">
      <w:pPr>
        <w:spacing w:beforeLines="50" w:before="156" w:afterLines="50" w:after="156" w:line="360" w:lineRule="auto"/>
        <w:ind w:firstLine="493"/>
        <w:jc w:val="left"/>
        <w:outlineLvl w:val="0"/>
        <w:rPr>
          <w:rFonts w:ascii="宋体" w:hAnsi="宋体"/>
          <w:b/>
        </w:rPr>
      </w:pPr>
      <w:r>
        <w:rPr>
          <w:rFonts w:ascii="宋体" w:hAnsi="宋体" w:hint="eastAsia"/>
          <w:b/>
        </w:rPr>
        <w:t>六、特定资格条件</w:t>
      </w:r>
    </w:p>
    <w:p w:rsidR="00DB4F5C" w:rsidRDefault="002A3AD4">
      <w:pPr>
        <w:spacing w:line="360" w:lineRule="auto"/>
        <w:ind w:firstLine="495"/>
        <w:jc w:val="left"/>
        <w:rPr>
          <w:rFonts w:ascii="宋体" w:hAnsi="宋体"/>
        </w:rPr>
      </w:pPr>
      <w:r>
        <w:rPr>
          <w:rFonts w:ascii="宋体" w:hAnsi="宋体" w:hint="eastAsia"/>
        </w:rPr>
        <w:t>除《中华人民共和国政府采购法》第二十二条规定的供应商应具备的条件外，</w:t>
      </w:r>
      <w:r>
        <w:rPr>
          <w:rFonts w:ascii="宋体" w:hAnsi="宋体"/>
        </w:rPr>
        <w:t>采购人可以根据采购项目的特殊要求，规定供应商的特定</w:t>
      </w:r>
      <w:r>
        <w:rPr>
          <w:rFonts w:ascii="宋体" w:hAnsi="宋体" w:hint="eastAsia"/>
        </w:rPr>
        <w:t>资格</w:t>
      </w:r>
      <w:r>
        <w:rPr>
          <w:rFonts w:ascii="宋体" w:hAnsi="宋体"/>
        </w:rPr>
        <w:t>条件，</w:t>
      </w:r>
      <w:r>
        <w:rPr>
          <w:rFonts w:ascii="宋体" w:hAnsi="宋体" w:hint="eastAsia"/>
        </w:rPr>
        <w:t>如国家或行业强制性标准等。</w:t>
      </w:r>
      <w:r>
        <w:rPr>
          <w:rFonts w:ascii="宋体" w:hAnsi="宋体"/>
        </w:rPr>
        <w:t>但不得以不合理的条件对供应商实行差别待遇或者歧视待遇。</w:t>
      </w:r>
    </w:p>
    <w:p w:rsidR="00DB4F5C" w:rsidRDefault="002A3AD4">
      <w:pPr>
        <w:spacing w:line="380" w:lineRule="exact"/>
        <w:rPr>
          <w:rFonts w:ascii="仿宋" w:eastAsia="仿宋" w:hAnsi="仿宋"/>
          <w:sz w:val="24"/>
        </w:rPr>
      </w:pPr>
      <w:r>
        <w:rPr>
          <w:rFonts w:ascii="仿宋" w:eastAsia="仿宋" w:hAnsi="仿宋" w:hint="eastAsia"/>
          <w:sz w:val="24"/>
        </w:rPr>
        <w:t>1、企业营业执照、税务登记证加盖公章的复印件或经公证的复印件；</w:t>
      </w:r>
    </w:p>
    <w:p w:rsidR="00DB4F5C" w:rsidRDefault="002A3AD4">
      <w:pPr>
        <w:spacing w:line="380" w:lineRule="exact"/>
        <w:rPr>
          <w:rFonts w:ascii="仿宋" w:eastAsia="仿宋" w:hAnsi="仿宋"/>
          <w:sz w:val="24"/>
        </w:rPr>
      </w:pPr>
      <w:r>
        <w:rPr>
          <w:rFonts w:ascii="仿宋" w:eastAsia="仿宋" w:hAnsi="仿宋" w:hint="eastAsia"/>
          <w:sz w:val="24"/>
        </w:rPr>
        <w:t>2、法定代表人授权委托书</w:t>
      </w:r>
      <w:r>
        <w:rPr>
          <w:rFonts w:ascii="仿宋" w:eastAsia="仿宋" w:hAnsi="仿宋" w:hint="eastAsia"/>
          <w:b/>
          <w:sz w:val="24"/>
        </w:rPr>
        <w:t>原件</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3、被授权人的身份证复印件</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4、进口产品非制造商申请人需提供产品销售代理授权证明（非制造商申请人必须提供针对本项目的专项授权书或有效的产品代理证书复印件并加盖公章</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5、如为国产产品非制造商申请人需提供原厂的售后服务承诺证明文件</w:t>
      </w:r>
      <w:r>
        <w:rPr>
          <w:rFonts w:ascii="仿宋" w:eastAsia="仿宋" w:hAnsi="仿宋" w:hint="eastAsia"/>
          <w:b/>
          <w:sz w:val="24"/>
        </w:rPr>
        <w:t>（带原件备查）；</w:t>
      </w:r>
    </w:p>
    <w:p w:rsidR="00DB4F5C" w:rsidRDefault="002A3AD4">
      <w:pPr>
        <w:spacing w:line="380" w:lineRule="exact"/>
        <w:rPr>
          <w:rFonts w:ascii="仿宋" w:eastAsia="仿宋" w:hAnsi="仿宋"/>
          <w:sz w:val="24"/>
        </w:rPr>
      </w:pPr>
      <w:r>
        <w:rPr>
          <w:rFonts w:ascii="仿宋" w:eastAsia="仿宋" w:hAnsi="仿宋" w:hint="eastAsia"/>
          <w:sz w:val="24"/>
        </w:rPr>
        <w:t>6、医疗器械经营许可证复印件（加盖红章）；</w:t>
      </w:r>
    </w:p>
    <w:p w:rsidR="00DB4F5C" w:rsidRDefault="002A3AD4">
      <w:pPr>
        <w:spacing w:line="380" w:lineRule="exact"/>
        <w:rPr>
          <w:rFonts w:ascii="仿宋" w:eastAsia="仿宋" w:hAnsi="仿宋"/>
          <w:sz w:val="24"/>
        </w:rPr>
      </w:pPr>
      <w:r>
        <w:rPr>
          <w:rFonts w:ascii="仿宋" w:eastAsia="仿宋" w:hAnsi="仿宋" w:hint="eastAsia"/>
          <w:sz w:val="24"/>
        </w:rPr>
        <w:t>7、所投产品的医疗器械注册证复印件（加盖红章）。</w:t>
      </w:r>
    </w:p>
    <w:p w:rsidR="00DB4F5C" w:rsidRDefault="00DB4F5C">
      <w:pPr>
        <w:spacing w:line="560" w:lineRule="exact"/>
        <w:ind w:right="600"/>
        <w:rPr>
          <w:rFonts w:ascii="仿宋" w:eastAsia="仿宋" w:hAnsi="仿宋"/>
          <w:sz w:val="28"/>
          <w:szCs w:val="28"/>
        </w:rPr>
      </w:pPr>
    </w:p>
    <w:p w:rsidR="00DB4F5C" w:rsidRDefault="002A3AD4">
      <w:pPr>
        <w:spacing w:line="560" w:lineRule="exact"/>
        <w:ind w:right="600"/>
        <w:jc w:val="center"/>
        <w:rPr>
          <w:rFonts w:ascii="宋体" w:hAnsi="宋体"/>
          <w:sz w:val="24"/>
        </w:rPr>
      </w:pPr>
      <w:r>
        <w:rPr>
          <w:rFonts w:ascii="宋体" w:hAnsi="宋体" w:hint="eastAsia"/>
          <w:sz w:val="24"/>
        </w:rPr>
        <w:t xml:space="preserve">                         申购单位（公章）：</w:t>
      </w:r>
    </w:p>
    <w:p w:rsidR="00DB4F5C" w:rsidRDefault="002A3AD4">
      <w:pPr>
        <w:spacing w:line="560" w:lineRule="exact"/>
        <w:ind w:right="600"/>
        <w:jc w:val="center"/>
        <w:rPr>
          <w:rFonts w:ascii="宋体" w:hAnsi="宋体"/>
          <w:sz w:val="24"/>
        </w:rPr>
      </w:pPr>
      <w:r>
        <w:rPr>
          <w:rFonts w:ascii="宋体" w:hAnsi="宋体" w:hint="eastAsia"/>
          <w:sz w:val="24"/>
        </w:rPr>
        <w:t xml:space="preserve">                      或项目负责人（签字）：</w:t>
      </w:r>
    </w:p>
    <w:p w:rsidR="00DB4F5C" w:rsidRDefault="002A3AD4">
      <w:pPr>
        <w:spacing w:line="560" w:lineRule="exact"/>
        <w:ind w:right="600"/>
        <w:jc w:val="center"/>
        <w:rPr>
          <w:rFonts w:ascii="宋体" w:hAnsi="宋体"/>
          <w:sz w:val="24"/>
        </w:rPr>
      </w:pPr>
      <w:r>
        <w:rPr>
          <w:rFonts w:ascii="宋体" w:hAnsi="宋体"/>
          <w:sz w:val="24"/>
        </w:rPr>
        <w:t xml:space="preserve">       </w:t>
      </w:r>
      <w:r>
        <w:rPr>
          <w:rFonts w:ascii="宋体" w:hAnsi="宋体" w:hint="eastAsia"/>
          <w:sz w:val="24"/>
        </w:rPr>
        <w:t xml:space="preserve">                               </w:t>
      </w:r>
    </w:p>
    <w:p w:rsidR="00DB4F5C" w:rsidRDefault="002A3AD4">
      <w:pPr>
        <w:spacing w:line="560" w:lineRule="exact"/>
        <w:ind w:right="600"/>
        <w:jc w:val="center"/>
        <w:rPr>
          <w:rFonts w:ascii="宋体" w:hAnsi="宋体"/>
          <w:szCs w:val="21"/>
        </w:rPr>
      </w:pPr>
      <w:r>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年</w:t>
      </w:r>
      <w:r w:rsidR="00E232C5">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月</w:t>
      </w:r>
      <w:r w:rsidR="00E232C5">
        <w:rPr>
          <w:rFonts w:ascii="宋体" w:hAnsi="宋体" w:hint="eastAsia"/>
          <w:sz w:val="24"/>
        </w:rPr>
        <w:t xml:space="preserve">  </w:t>
      </w:r>
      <w:r w:rsidR="00806CF1">
        <w:rPr>
          <w:rFonts w:ascii="宋体" w:hAnsi="宋体" w:hint="eastAsia"/>
          <w:sz w:val="24"/>
        </w:rPr>
        <w:t xml:space="preserve"> </w:t>
      </w:r>
      <w:r>
        <w:rPr>
          <w:rFonts w:ascii="宋体" w:hAnsi="宋体" w:hint="eastAsia"/>
          <w:sz w:val="24"/>
        </w:rPr>
        <w:t>日</w:t>
      </w:r>
    </w:p>
    <w:sectPr w:rsidR="00DB4F5C" w:rsidSect="00DB4F5C">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BF" w:rsidRDefault="00C223BF" w:rsidP="006D3120">
      <w:r>
        <w:separator/>
      </w:r>
    </w:p>
  </w:endnote>
  <w:endnote w:type="continuationSeparator" w:id="0">
    <w:p w:rsidR="00C223BF" w:rsidRDefault="00C223BF" w:rsidP="006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BF" w:rsidRDefault="00C223BF" w:rsidP="006D3120">
      <w:r>
        <w:separator/>
      </w:r>
    </w:p>
  </w:footnote>
  <w:footnote w:type="continuationSeparator" w:id="0">
    <w:p w:rsidR="00C223BF" w:rsidRDefault="00C223BF" w:rsidP="006D3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F046B"/>
    <w:multiLevelType w:val="singleLevel"/>
    <w:tmpl w:val="54FF046B"/>
    <w:lvl w:ilvl="0">
      <w:start w:val="8"/>
      <w:numFmt w:val="decimal"/>
      <w:suff w:val="nothing"/>
      <w:lvlText w:val="%1、"/>
      <w:lvlJc w:val="left"/>
    </w:lvl>
  </w:abstractNum>
  <w:abstractNum w:abstractNumId="1">
    <w:nsid w:val="6DD72B97"/>
    <w:multiLevelType w:val="multilevel"/>
    <w:tmpl w:val="6DD72B97"/>
    <w:lvl w:ilvl="0">
      <w:start w:val="1"/>
      <w:numFmt w:val="decimal"/>
      <w:lvlText w:val="%1."/>
      <w:lvlJc w:val="left"/>
      <w:pPr>
        <w:tabs>
          <w:tab w:val="left" w:pos="0"/>
        </w:tabs>
        <w:ind w:left="283" w:hanging="283"/>
      </w:pPr>
    </w:lvl>
    <w:lvl w:ilvl="1">
      <w:start w:val="1"/>
      <w:numFmt w:val="decimal"/>
      <w:lvlText w:val="%2、"/>
      <w:lvlJc w:val="left"/>
      <w:pPr>
        <w:tabs>
          <w:tab w:val="left" w:pos="0"/>
        </w:tabs>
        <w:ind w:left="780" w:hanging="360"/>
      </w:pPr>
      <w:rPr>
        <w:rFonts w:hint="default"/>
      </w:rPr>
    </w:lvl>
    <w:lvl w:ilvl="2">
      <w:start w:val="1"/>
      <w:numFmt w:val="bullet"/>
      <w:lvlText w:val="▲"/>
      <w:lvlJc w:val="left"/>
      <w:pPr>
        <w:tabs>
          <w:tab w:val="left" w:pos="0"/>
        </w:tabs>
        <w:ind w:left="1200" w:hanging="360"/>
      </w:pPr>
      <w:rPr>
        <w:rFonts w:ascii="宋体" w:eastAsia="宋体" w:hAnsi="宋体" w:cs="Times New Roman" w:hint="eastAsia"/>
      </w:rPr>
    </w:lvl>
    <w:lvl w:ilvl="3">
      <w:start w:val="1"/>
      <w:numFmt w:val="lowerLetter"/>
      <w:lvlText w:val="%4."/>
      <w:lvlJc w:val="left"/>
      <w:pPr>
        <w:tabs>
          <w:tab w:val="left" w:pos="0"/>
        </w:tabs>
        <w:ind w:left="1620" w:hanging="360"/>
      </w:pPr>
      <w:rPr>
        <w:rFonts w:hint="eastAsia"/>
      </w:r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63B3"/>
    <w:rsid w:val="C7F9F3AF"/>
    <w:rsid w:val="F53B1D37"/>
    <w:rsid w:val="FAF40A36"/>
    <w:rsid w:val="FB67D061"/>
    <w:rsid w:val="FFE7851E"/>
    <w:rsid w:val="00001F85"/>
    <w:rsid w:val="00004901"/>
    <w:rsid w:val="00014026"/>
    <w:rsid w:val="0001455F"/>
    <w:rsid w:val="00014807"/>
    <w:rsid w:val="00017FF7"/>
    <w:rsid w:val="00034E43"/>
    <w:rsid w:val="0003767E"/>
    <w:rsid w:val="00040D85"/>
    <w:rsid w:val="0004139F"/>
    <w:rsid w:val="0005154E"/>
    <w:rsid w:val="00062208"/>
    <w:rsid w:val="00070BB0"/>
    <w:rsid w:val="000826EA"/>
    <w:rsid w:val="00087A55"/>
    <w:rsid w:val="00087AA0"/>
    <w:rsid w:val="000979C5"/>
    <w:rsid w:val="000A503E"/>
    <w:rsid w:val="000B3B9D"/>
    <w:rsid w:val="000B46EE"/>
    <w:rsid w:val="000B71EE"/>
    <w:rsid w:val="000C285F"/>
    <w:rsid w:val="000C498D"/>
    <w:rsid w:val="000D5256"/>
    <w:rsid w:val="000D5D3C"/>
    <w:rsid w:val="000F65B8"/>
    <w:rsid w:val="001001A0"/>
    <w:rsid w:val="0010438D"/>
    <w:rsid w:val="00117FF6"/>
    <w:rsid w:val="001330D4"/>
    <w:rsid w:val="00134E23"/>
    <w:rsid w:val="00144F9F"/>
    <w:rsid w:val="00145EE8"/>
    <w:rsid w:val="001543F0"/>
    <w:rsid w:val="00162FCD"/>
    <w:rsid w:val="00167E13"/>
    <w:rsid w:val="00170AB5"/>
    <w:rsid w:val="00181BDC"/>
    <w:rsid w:val="00182D28"/>
    <w:rsid w:val="00183899"/>
    <w:rsid w:val="00183E1C"/>
    <w:rsid w:val="00194671"/>
    <w:rsid w:val="001A0F81"/>
    <w:rsid w:val="001D74DE"/>
    <w:rsid w:val="001F0EE4"/>
    <w:rsid w:val="001F19BB"/>
    <w:rsid w:val="0020001F"/>
    <w:rsid w:val="00202049"/>
    <w:rsid w:val="00222126"/>
    <w:rsid w:val="00225812"/>
    <w:rsid w:val="00235493"/>
    <w:rsid w:val="00237ABE"/>
    <w:rsid w:val="002434FE"/>
    <w:rsid w:val="00251000"/>
    <w:rsid w:val="00274D8C"/>
    <w:rsid w:val="00282BCA"/>
    <w:rsid w:val="002A3AD4"/>
    <w:rsid w:val="002C689A"/>
    <w:rsid w:val="002C6E86"/>
    <w:rsid w:val="002D6A48"/>
    <w:rsid w:val="002E1935"/>
    <w:rsid w:val="0030214F"/>
    <w:rsid w:val="003037A7"/>
    <w:rsid w:val="00311303"/>
    <w:rsid w:val="003200A6"/>
    <w:rsid w:val="0032397A"/>
    <w:rsid w:val="00324AFB"/>
    <w:rsid w:val="00324EF2"/>
    <w:rsid w:val="003278FF"/>
    <w:rsid w:val="00333D42"/>
    <w:rsid w:val="00347F81"/>
    <w:rsid w:val="00362D65"/>
    <w:rsid w:val="00366A4D"/>
    <w:rsid w:val="0037404C"/>
    <w:rsid w:val="0037504C"/>
    <w:rsid w:val="003800F7"/>
    <w:rsid w:val="003A216F"/>
    <w:rsid w:val="003A6ED8"/>
    <w:rsid w:val="003B073B"/>
    <w:rsid w:val="003B2F97"/>
    <w:rsid w:val="003B4252"/>
    <w:rsid w:val="003E44DD"/>
    <w:rsid w:val="003F6BA5"/>
    <w:rsid w:val="00407DC3"/>
    <w:rsid w:val="004105BD"/>
    <w:rsid w:val="00417854"/>
    <w:rsid w:val="00444666"/>
    <w:rsid w:val="004559E4"/>
    <w:rsid w:val="00457BD3"/>
    <w:rsid w:val="0048664F"/>
    <w:rsid w:val="004A5B44"/>
    <w:rsid w:val="004B0AAA"/>
    <w:rsid w:val="004B691D"/>
    <w:rsid w:val="004C00AA"/>
    <w:rsid w:val="004C213D"/>
    <w:rsid w:val="004C41A3"/>
    <w:rsid w:val="004C4A34"/>
    <w:rsid w:val="004C7A55"/>
    <w:rsid w:val="004D33FD"/>
    <w:rsid w:val="004D4CB4"/>
    <w:rsid w:val="004D67AB"/>
    <w:rsid w:val="004F389B"/>
    <w:rsid w:val="00500173"/>
    <w:rsid w:val="00507AF6"/>
    <w:rsid w:val="005350C8"/>
    <w:rsid w:val="005449EC"/>
    <w:rsid w:val="00552EA9"/>
    <w:rsid w:val="00553002"/>
    <w:rsid w:val="005621F2"/>
    <w:rsid w:val="005623AE"/>
    <w:rsid w:val="0056403C"/>
    <w:rsid w:val="00592B8E"/>
    <w:rsid w:val="00597538"/>
    <w:rsid w:val="0059772B"/>
    <w:rsid w:val="005B0F4D"/>
    <w:rsid w:val="005C5158"/>
    <w:rsid w:val="005D3986"/>
    <w:rsid w:val="005E2669"/>
    <w:rsid w:val="005F200F"/>
    <w:rsid w:val="005F53B3"/>
    <w:rsid w:val="00617AF6"/>
    <w:rsid w:val="00622409"/>
    <w:rsid w:val="00625197"/>
    <w:rsid w:val="00625D73"/>
    <w:rsid w:val="0062665C"/>
    <w:rsid w:val="00636064"/>
    <w:rsid w:val="00642C70"/>
    <w:rsid w:val="006445AA"/>
    <w:rsid w:val="00646B9C"/>
    <w:rsid w:val="006548C1"/>
    <w:rsid w:val="00661D47"/>
    <w:rsid w:val="00670408"/>
    <w:rsid w:val="00674624"/>
    <w:rsid w:val="006839BC"/>
    <w:rsid w:val="0068534D"/>
    <w:rsid w:val="00685EF1"/>
    <w:rsid w:val="00692D13"/>
    <w:rsid w:val="00696050"/>
    <w:rsid w:val="0069759A"/>
    <w:rsid w:val="006A0ED5"/>
    <w:rsid w:val="006A26DD"/>
    <w:rsid w:val="006D3120"/>
    <w:rsid w:val="006D5B33"/>
    <w:rsid w:val="006E222B"/>
    <w:rsid w:val="006E3BB4"/>
    <w:rsid w:val="006F0D01"/>
    <w:rsid w:val="0070499D"/>
    <w:rsid w:val="00713F56"/>
    <w:rsid w:val="007161F6"/>
    <w:rsid w:val="00727B9F"/>
    <w:rsid w:val="007409EF"/>
    <w:rsid w:val="00743F6E"/>
    <w:rsid w:val="007719EB"/>
    <w:rsid w:val="007724F9"/>
    <w:rsid w:val="007A2FFA"/>
    <w:rsid w:val="007B5518"/>
    <w:rsid w:val="007C74D9"/>
    <w:rsid w:val="007D179B"/>
    <w:rsid w:val="007E2F39"/>
    <w:rsid w:val="007E45ED"/>
    <w:rsid w:val="007F3C6D"/>
    <w:rsid w:val="007F4000"/>
    <w:rsid w:val="007F4E04"/>
    <w:rsid w:val="008006C3"/>
    <w:rsid w:val="00806CF1"/>
    <w:rsid w:val="00811915"/>
    <w:rsid w:val="00814139"/>
    <w:rsid w:val="00816CBE"/>
    <w:rsid w:val="00817905"/>
    <w:rsid w:val="0082243F"/>
    <w:rsid w:val="00827486"/>
    <w:rsid w:val="008326A9"/>
    <w:rsid w:val="008345CD"/>
    <w:rsid w:val="00842D1F"/>
    <w:rsid w:val="008614E4"/>
    <w:rsid w:val="00864E99"/>
    <w:rsid w:val="00867A2A"/>
    <w:rsid w:val="00870DD1"/>
    <w:rsid w:val="008837FA"/>
    <w:rsid w:val="00886D0E"/>
    <w:rsid w:val="008919F7"/>
    <w:rsid w:val="00895B6E"/>
    <w:rsid w:val="008D199F"/>
    <w:rsid w:val="008E45A7"/>
    <w:rsid w:val="008F63B3"/>
    <w:rsid w:val="00913C32"/>
    <w:rsid w:val="009205BA"/>
    <w:rsid w:val="00924F7C"/>
    <w:rsid w:val="00956D12"/>
    <w:rsid w:val="00960444"/>
    <w:rsid w:val="00962E82"/>
    <w:rsid w:val="00967898"/>
    <w:rsid w:val="009729CA"/>
    <w:rsid w:val="0097706D"/>
    <w:rsid w:val="009B135E"/>
    <w:rsid w:val="009B2FF9"/>
    <w:rsid w:val="009C0EE4"/>
    <w:rsid w:val="009C4B35"/>
    <w:rsid w:val="009D0D5C"/>
    <w:rsid w:val="009D54D5"/>
    <w:rsid w:val="009D696B"/>
    <w:rsid w:val="009F453F"/>
    <w:rsid w:val="009F5E57"/>
    <w:rsid w:val="00A005FE"/>
    <w:rsid w:val="00A00F10"/>
    <w:rsid w:val="00A07904"/>
    <w:rsid w:val="00A07C34"/>
    <w:rsid w:val="00A11299"/>
    <w:rsid w:val="00A13156"/>
    <w:rsid w:val="00A235C2"/>
    <w:rsid w:val="00A251BC"/>
    <w:rsid w:val="00A3544E"/>
    <w:rsid w:val="00A43886"/>
    <w:rsid w:val="00A4466D"/>
    <w:rsid w:val="00A55674"/>
    <w:rsid w:val="00A92CB7"/>
    <w:rsid w:val="00A96377"/>
    <w:rsid w:val="00A96FE0"/>
    <w:rsid w:val="00AA4862"/>
    <w:rsid w:val="00AB2627"/>
    <w:rsid w:val="00AD1899"/>
    <w:rsid w:val="00AD37FB"/>
    <w:rsid w:val="00AE1028"/>
    <w:rsid w:val="00AE412D"/>
    <w:rsid w:val="00AF16EB"/>
    <w:rsid w:val="00AF37C7"/>
    <w:rsid w:val="00AF607D"/>
    <w:rsid w:val="00AF7150"/>
    <w:rsid w:val="00B40398"/>
    <w:rsid w:val="00B406A4"/>
    <w:rsid w:val="00B534DD"/>
    <w:rsid w:val="00B54E25"/>
    <w:rsid w:val="00B568B3"/>
    <w:rsid w:val="00B609A4"/>
    <w:rsid w:val="00B61BC9"/>
    <w:rsid w:val="00B70998"/>
    <w:rsid w:val="00B7139F"/>
    <w:rsid w:val="00B777D2"/>
    <w:rsid w:val="00B83E0E"/>
    <w:rsid w:val="00BA3EF7"/>
    <w:rsid w:val="00BA40B6"/>
    <w:rsid w:val="00BA7390"/>
    <w:rsid w:val="00BB64FC"/>
    <w:rsid w:val="00BC3E89"/>
    <w:rsid w:val="00BC565F"/>
    <w:rsid w:val="00BE0ADF"/>
    <w:rsid w:val="00C04602"/>
    <w:rsid w:val="00C13979"/>
    <w:rsid w:val="00C223BF"/>
    <w:rsid w:val="00C2436D"/>
    <w:rsid w:val="00C25927"/>
    <w:rsid w:val="00C33408"/>
    <w:rsid w:val="00C41057"/>
    <w:rsid w:val="00C53AF5"/>
    <w:rsid w:val="00C54AB4"/>
    <w:rsid w:val="00C61BFD"/>
    <w:rsid w:val="00C76C30"/>
    <w:rsid w:val="00CB1E69"/>
    <w:rsid w:val="00CB7588"/>
    <w:rsid w:val="00CE3788"/>
    <w:rsid w:val="00CE7898"/>
    <w:rsid w:val="00CF37E3"/>
    <w:rsid w:val="00D05660"/>
    <w:rsid w:val="00D23FCD"/>
    <w:rsid w:val="00D24338"/>
    <w:rsid w:val="00D27775"/>
    <w:rsid w:val="00D318D1"/>
    <w:rsid w:val="00D461F2"/>
    <w:rsid w:val="00D46AEC"/>
    <w:rsid w:val="00D47E72"/>
    <w:rsid w:val="00D53FB7"/>
    <w:rsid w:val="00D5661D"/>
    <w:rsid w:val="00D60454"/>
    <w:rsid w:val="00D62F9A"/>
    <w:rsid w:val="00DA7B8B"/>
    <w:rsid w:val="00DB3E1C"/>
    <w:rsid w:val="00DB4F5C"/>
    <w:rsid w:val="00DC4D38"/>
    <w:rsid w:val="00DE161F"/>
    <w:rsid w:val="00DF2054"/>
    <w:rsid w:val="00DF21A4"/>
    <w:rsid w:val="00DF6822"/>
    <w:rsid w:val="00E04621"/>
    <w:rsid w:val="00E06CEB"/>
    <w:rsid w:val="00E155AA"/>
    <w:rsid w:val="00E232C5"/>
    <w:rsid w:val="00E25387"/>
    <w:rsid w:val="00E314F2"/>
    <w:rsid w:val="00E3769D"/>
    <w:rsid w:val="00E423CB"/>
    <w:rsid w:val="00E4657C"/>
    <w:rsid w:val="00E46C68"/>
    <w:rsid w:val="00E51FE1"/>
    <w:rsid w:val="00E56071"/>
    <w:rsid w:val="00E67115"/>
    <w:rsid w:val="00E703E3"/>
    <w:rsid w:val="00E7074C"/>
    <w:rsid w:val="00E76646"/>
    <w:rsid w:val="00E84C10"/>
    <w:rsid w:val="00E87E2D"/>
    <w:rsid w:val="00E90405"/>
    <w:rsid w:val="00E92D41"/>
    <w:rsid w:val="00EA2191"/>
    <w:rsid w:val="00EA4890"/>
    <w:rsid w:val="00ED0946"/>
    <w:rsid w:val="00ED0F24"/>
    <w:rsid w:val="00EE04E5"/>
    <w:rsid w:val="00EE107C"/>
    <w:rsid w:val="00EE329C"/>
    <w:rsid w:val="00F01D2C"/>
    <w:rsid w:val="00F01EC5"/>
    <w:rsid w:val="00F04DC6"/>
    <w:rsid w:val="00F10832"/>
    <w:rsid w:val="00F1215A"/>
    <w:rsid w:val="00F14C92"/>
    <w:rsid w:val="00F228AC"/>
    <w:rsid w:val="00F25910"/>
    <w:rsid w:val="00F3532F"/>
    <w:rsid w:val="00F61EA6"/>
    <w:rsid w:val="00F6542B"/>
    <w:rsid w:val="00F71043"/>
    <w:rsid w:val="00F72694"/>
    <w:rsid w:val="00F75558"/>
    <w:rsid w:val="00F76A31"/>
    <w:rsid w:val="00F82476"/>
    <w:rsid w:val="00FB414F"/>
    <w:rsid w:val="00FB467F"/>
    <w:rsid w:val="00FB6131"/>
    <w:rsid w:val="00FB6D69"/>
    <w:rsid w:val="00FC1320"/>
    <w:rsid w:val="00FD15D8"/>
    <w:rsid w:val="00FD2549"/>
    <w:rsid w:val="02354B3B"/>
    <w:rsid w:val="04A94B69"/>
    <w:rsid w:val="0D1A0356"/>
    <w:rsid w:val="0DF478D0"/>
    <w:rsid w:val="11C41C6D"/>
    <w:rsid w:val="14C76A06"/>
    <w:rsid w:val="156900D7"/>
    <w:rsid w:val="1A445BFA"/>
    <w:rsid w:val="23062162"/>
    <w:rsid w:val="23BC6790"/>
    <w:rsid w:val="2EB63AE8"/>
    <w:rsid w:val="313649AB"/>
    <w:rsid w:val="35D14165"/>
    <w:rsid w:val="37DDFDDE"/>
    <w:rsid w:val="3CA67C0D"/>
    <w:rsid w:val="3CE7015C"/>
    <w:rsid w:val="42FB07A6"/>
    <w:rsid w:val="43ED7A6E"/>
    <w:rsid w:val="47251481"/>
    <w:rsid w:val="48D428C9"/>
    <w:rsid w:val="4A3D7E44"/>
    <w:rsid w:val="543005D1"/>
    <w:rsid w:val="5566161C"/>
    <w:rsid w:val="55867C97"/>
    <w:rsid w:val="5831063A"/>
    <w:rsid w:val="612C342B"/>
    <w:rsid w:val="61BA0A94"/>
    <w:rsid w:val="63A075F3"/>
    <w:rsid w:val="69093A9C"/>
    <w:rsid w:val="6B3E35A2"/>
    <w:rsid w:val="6C2053FE"/>
    <w:rsid w:val="72BD175E"/>
    <w:rsid w:val="73560858"/>
    <w:rsid w:val="73784032"/>
    <w:rsid w:val="76A54559"/>
    <w:rsid w:val="7A02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F5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B4F5C"/>
    <w:rPr>
      <w:sz w:val="18"/>
      <w:szCs w:val="18"/>
    </w:rPr>
  </w:style>
  <w:style w:type="paragraph" w:styleId="a4">
    <w:name w:val="footer"/>
    <w:basedOn w:val="a"/>
    <w:link w:val="Char"/>
    <w:uiPriority w:val="99"/>
    <w:qFormat/>
    <w:rsid w:val="00DB4F5C"/>
    <w:pPr>
      <w:tabs>
        <w:tab w:val="center" w:pos="4153"/>
        <w:tab w:val="right" w:pos="8306"/>
      </w:tabs>
      <w:snapToGrid w:val="0"/>
      <w:jc w:val="left"/>
    </w:pPr>
    <w:rPr>
      <w:sz w:val="18"/>
      <w:szCs w:val="18"/>
    </w:rPr>
  </w:style>
  <w:style w:type="paragraph" w:styleId="a5">
    <w:name w:val="header"/>
    <w:basedOn w:val="a"/>
    <w:link w:val="Char0"/>
    <w:uiPriority w:val="99"/>
    <w:qFormat/>
    <w:rsid w:val="00DB4F5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B4F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DB4F5C"/>
    <w:rPr>
      <w:rFonts w:ascii="Calibri" w:hAnsi="Calibri"/>
      <w:sz w:val="22"/>
      <w:szCs w:val="22"/>
    </w:rPr>
  </w:style>
  <w:style w:type="character" w:customStyle="1" w:styleId="Char0">
    <w:name w:val="页眉 Char"/>
    <w:link w:val="a5"/>
    <w:uiPriority w:val="99"/>
    <w:qFormat/>
    <w:rsid w:val="00DB4F5C"/>
    <w:rPr>
      <w:kern w:val="2"/>
      <w:sz w:val="18"/>
      <w:szCs w:val="18"/>
    </w:rPr>
  </w:style>
  <w:style w:type="character" w:customStyle="1" w:styleId="Char">
    <w:name w:val="页脚 Char"/>
    <w:link w:val="a4"/>
    <w:uiPriority w:val="99"/>
    <w:qFormat/>
    <w:rsid w:val="00DB4F5C"/>
    <w:rPr>
      <w:kern w:val="2"/>
      <w:sz w:val="18"/>
      <w:szCs w:val="18"/>
    </w:rPr>
  </w:style>
  <w:style w:type="character" w:customStyle="1" w:styleId="Char1">
    <w:name w:val="无间隔 Char"/>
    <w:link w:val="a7"/>
    <w:uiPriority w:val="1"/>
    <w:qFormat/>
    <w:rsid w:val="00DB4F5C"/>
    <w:rPr>
      <w:rFonts w:ascii="Calibri" w:hAnsi="Calibri"/>
      <w:sz w:val="22"/>
      <w:szCs w:val="22"/>
      <w:lang w:bidi="ar-SA"/>
    </w:rPr>
  </w:style>
  <w:style w:type="table" w:customStyle="1" w:styleId="1">
    <w:name w:val="网格型1"/>
    <w:basedOn w:val="a1"/>
    <w:uiPriority w:val="59"/>
    <w:qFormat/>
    <w:rsid w:val="00DB4F5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2"/>
    <w:uiPriority w:val="34"/>
    <w:unhideWhenUsed/>
    <w:qFormat/>
    <w:rsid w:val="00DB4F5C"/>
    <w:pPr>
      <w:ind w:firstLineChars="200" w:firstLine="420"/>
    </w:pPr>
  </w:style>
  <w:style w:type="character" w:customStyle="1" w:styleId="15">
    <w:name w:val="15"/>
    <w:basedOn w:val="a0"/>
    <w:rsid w:val="00DB4F5C"/>
    <w:rPr>
      <w:rFonts w:ascii="Calibri" w:hAnsi="Calibri" w:cs="Calibri" w:hint="default"/>
    </w:rPr>
  </w:style>
  <w:style w:type="character" w:customStyle="1" w:styleId="10">
    <w:name w:val="10"/>
    <w:basedOn w:val="a0"/>
    <w:rsid w:val="00DB4F5C"/>
    <w:rPr>
      <w:rFonts w:ascii="Calibri" w:hAnsi="Calibri" w:cs="Calibri" w:hint="default"/>
    </w:rPr>
  </w:style>
  <w:style w:type="paragraph" w:styleId="a9">
    <w:name w:val="Normal (Web)"/>
    <w:basedOn w:val="a"/>
    <w:unhideWhenUsed/>
    <w:rsid w:val="00C13979"/>
    <w:pPr>
      <w:spacing w:before="100" w:beforeAutospacing="1" w:after="100" w:afterAutospacing="1"/>
      <w:jc w:val="left"/>
    </w:pPr>
    <w:rPr>
      <w:kern w:val="0"/>
      <w:sz w:val="24"/>
    </w:rPr>
  </w:style>
  <w:style w:type="character" w:customStyle="1" w:styleId="Char2">
    <w:name w:val="列出段落 Char"/>
    <w:link w:val="a8"/>
    <w:autoRedefine/>
    <w:uiPriority w:val="34"/>
    <w:qFormat/>
    <w:rsid w:val="004C7A55"/>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5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C8DF7-138D-4C07-823B-A4EB4F0E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387</Words>
  <Characters>2209</Characters>
  <Application>Microsoft Office Word</Application>
  <DocSecurity>0</DocSecurity>
  <Lines>18</Lines>
  <Paragraphs>5</Paragraphs>
  <ScaleCrop>false</ScaleCrop>
  <Company>SJTU</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Lenovo</cp:lastModifiedBy>
  <cp:revision>90</cp:revision>
  <cp:lastPrinted>2025-08-12T04:10:00Z</cp:lastPrinted>
  <dcterms:created xsi:type="dcterms:W3CDTF">2020-01-16T00:38:00Z</dcterms:created>
  <dcterms:modified xsi:type="dcterms:W3CDTF">2026-04-13T09:21:00Z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