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F1" w:rsidRDefault="002C43F4" w:rsidP="00684E4C">
      <w:pPr>
        <w:spacing w:afterLines="50" w:line="240" w:lineRule="auto"/>
        <w:ind w:left="220" w:hangingChars="50" w:hanging="220"/>
        <w:jc w:val="center"/>
        <w:rPr>
          <w:rFonts w:ascii="黑体" w:eastAsia="方正小标宋简体" w:hAnsi="黑体"/>
          <w:sz w:val="28"/>
          <w:szCs w:val="28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江大附院遴选各类电动门及门禁系统维修服务商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江苏大学附属医院总务处现发布各类电动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玻璃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门及门禁系统维修服务商遴选公告，欢迎合格的潜在投标人参加。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一、项目概况及要求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（一）项目名称：江大附院各类电动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玻璃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门和门禁系统的维修。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（二）服务内容：主要针对院区内各类电动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玻璃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门和门禁系统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（母婴楼门禁系统除外）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的维修。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（三）服务要求（需提供承诺书并加盖公章）：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接到报修电话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小时内必须到达现场；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维修完成后，由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院方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验收签字确认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维修质保期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年（以验收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签字确认开始计算质保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，人为原因除外）；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（四）技术要求：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电动门运行要平稳，无卡顿、无异响；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门禁读卡器工作要灵敏可靠，磁力锁工作要稳定可靠，安装牢固，无松动现象；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所有更换配件要有产品合格证。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（五）项目报价：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按表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内容报价；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按照维修人工费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+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维修材料费总价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高低排序，价格最低的投标单位为中标单位，价格次低的投标单位为中标入围单位。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中标单位维修材料费必须按照所有投标单位每项的最低价执行。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二、投标人应具备的必要资格条件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参加询价单位必须提供营业执照（具有相关项目），具有履行合同所必需的工具和能力。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本项目不接受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联合体投标，不得转包、分包。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三．资格审查方式及特殊情况说明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本次采用资格后审方式。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满足询价文件实质性要求的单位数量达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家及以上的，公开询价采购，由最低报价的投标单位中标。若最低报价的投标单位有两家及以上，</w:t>
      </w:r>
      <w:r>
        <w:rPr>
          <w:rFonts w:ascii="仿宋" w:eastAsia="仿宋" w:hAnsi="仿宋" w:hint="eastAsia"/>
          <w:sz w:val="30"/>
          <w:szCs w:val="30"/>
        </w:rPr>
        <w:t>则现场采用二次报价方式，确定中标单位；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2.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家的，则现场转变采购方式，采用竞争性谈判的采购方式，确定中标单位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;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家的，则现场转变采购方式，采用单一来源谈判的采购方式，确定中标单位。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四、询价地点及要求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（一）地点：江苏大学附属医院总务处二楼会议室。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（二）请各报价单位须提准备好营业执照、品牌授权（如需要）、产品资料、产品报价（一次性报价）、服务承诺书，用文件袋密封包装送至指定地点。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五、付款方式：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根据签字确认的维修内容及数量计算金额，三个月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按实结算。</w:t>
      </w:r>
    </w:p>
    <w:p w:rsidR="003572F1" w:rsidRDefault="002C43F4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六、服务期：此次询价有效期为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年，自中标单位公布之日起计。</w:t>
      </w:r>
    </w:p>
    <w:p w:rsidR="003572F1" w:rsidRDefault="003572F1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3572F1" w:rsidRDefault="003572F1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3572F1" w:rsidRDefault="003572F1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3572F1" w:rsidRDefault="003572F1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3572F1" w:rsidRDefault="003572F1">
      <w:pPr>
        <w:pStyle w:val="a6"/>
        <w:shd w:val="clear" w:color="auto" w:fill="FFFFFF"/>
        <w:snapToGrid w:val="0"/>
        <w:spacing w:before="0" w:beforeAutospacing="0" w:after="0" w:afterAutospacing="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3572F1" w:rsidRDefault="003572F1">
      <w:pPr>
        <w:adjustRightInd w:val="0"/>
        <w:snapToGrid w:val="0"/>
        <w:ind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3572F1" w:rsidRDefault="003572F1">
      <w:pPr>
        <w:adjustRightInd w:val="0"/>
        <w:snapToGrid w:val="0"/>
        <w:ind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3572F1" w:rsidRDefault="003572F1">
      <w:pPr>
        <w:adjustRightInd w:val="0"/>
        <w:snapToGrid w:val="0"/>
        <w:ind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3572F1" w:rsidRDefault="003572F1">
      <w:pPr>
        <w:adjustRightInd w:val="0"/>
        <w:snapToGrid w:val="0"/>
        <w:ind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3572F1" w:rsidRDefault="003572F1">
      <w:pPr>
        <w:adjustRightInd w:val="0"/>
        <w:snapToGrid w:val="0"/>
        <w:rPr>
          <w:rFonts w:asciiTheme="majorEastAsia" w:eastAsiaTheme="majorEastAsia" w:hAnsiTheme="majorEastAsia"/>
          <w:b/>
          <w:sz w:val="32"/>
          <w:szCs w:val="32"/>
        </w:rPr>
      </w:pPr>
    </w:p>
    <w:p w:rsidR="003572F1" w:rsidRDefault="003572F1">
      <w:pPr>
        <w:adjustRightInd w:val="0"/>
        <w:snapToGrid w:val="0"/>
        <w:rPr>
          <w:rFonts w:asciiTheme="majorEastAsia" w:eastAsiaTheme="majorEastAsia" w:hAnsiTheme="majorEastAsia"/>
          <w:b/>
          <w:sz w:val="32"/>
          <w:szCs w:val="32"/>
        </w:rPr>
      </w:pPr>
    </w:p>
    <w:p w:rsidR="003572F1" w:rsidRDefault="003572F1">
      <w:pPr>
        <w:adjustRightInd w:val="0"/>
        <w:snapToGrid w:val="0"/>
        <w:ind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3572F1" w:rsidRDefault="002C43F4">
      <w:pPr>
        <w:adjustRightInd w:val="0"/>
        <w:snapToGrid w:val="0"/>
        <w:ind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表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1.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维修报价表（单位：元）</w:t>
      </w:r>
    </w:p>
    <w:p w:rsidR="003572F1" w:rsidRDefault="002C43F4">
      <w:pPr>
        <w:numPr>
          <w:ilvl w:val="0"/>
          <w:numId w:val="1"/>
        </w:numPr>
        <w:adjustRightInd w:val="0"/>
        <w:snapToGrid w:val="0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维修人工费：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元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/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人</w:t>
      </w:r>
    </w:p>
    <w:p w:rsidR="003572F1" w:rsidRDefault="002C43F4">
      <w:pPr>
        <w:numPr>
          <w:ilvl w:val="0"/>
          <w:numId w:val="1"/>
        </w:numPr>
        <w:adjustRightInd w:val="0"/>
        <w:snapToGrid w:val="0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维修材料费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</w:t>
      </w:r>
    </w:p>
    <w:tbl>
      <w:tblPr>
        <w:tblStyle w:val="a7"/>
        <w:tblW w:w="9039" w:type="dxa"/>
        <w:tblLook w:val="04A0"/>
      </w:tblPr>
      <w:tblGrid>
        <w:gridCol w:w="2652"/>
        <w:gridCol w:w="1136"/>
        <w:gridCol w:w="1707"/>
        <w:gridCol w:w="1701"/>
        <w:gridCol w:w="1843"/>
      </w:tblGrid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占比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虚拟数量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价格（元）</w:t>
            </w: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占比*价格</w:t>
            </w:r>
          </w:p>
        </w:tc>
      </w:tr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电动门电源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1（套）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ind w:firstLineChars="300" w:firstLine="840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电动门控制器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ind w:firstLineChars="100" w:firstLine="280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 xml:space="preserve"> 5%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1（套）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电动门电机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1（套）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电动门遥控接收模块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1（套）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电动门红外线感应器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1（套）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电动门上轨道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1（米）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电动门上挂轮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1（只）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门禁电源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15%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1（套）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门禁读卡器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30%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1（套）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单门控制器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2%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1（套）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双门控制器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3%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1（套）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四门控制器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1（套）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684E4C" w:rsidTr="00684E4C">
        <w:tc>
          <w:tcPr>
            <w:tcW w:w="2652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门禁磁力锁</w:t>
            </w:r>
          </w:p>
        </w:tc>
        <w:tc>
          <w:tcPr>
            <w:tcW w:w="1136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10%</w:t>
            </w:r>
          </w:p>
        </w:tc>
        <w:tc>
          <w:tcPr>
            <w:tcW w:w="1707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1（套）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684E4C" w:rsidTr="00F44909">
        <w:tc>
          <w:tcPr>
            <w:tcW w:w="5495" w:type="dxa"/>
            <w:gridSpan w:val="3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总价（元）</w:t>
            </w:r>
          </w:p>
        </w:tc>
        <w:tc>
          <w:tcPr>
            <w:tcW w:w="1701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684E4C" w:rsidRDefault="00684E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:rsidR="003572F1" w:rsidRDefault="003572F1">
      <w:pPr>
        <w:adjustRightInd w:val="0"/>
        <w:snapToGrid w:val="0"/>
        <w:rPr>
          <w:rFonts w:asciiTheme="majorEastAsia" w:eastAsiaTheme="majorEastAsia" w:hAnsiTheme="majorEastAsia"/>
          <w:b/>
          <w:sz w:val="32"/>
          <w:szCs w:val="32"/>
        </w:rPr>
      </w:pPr>
    </w:p>
    <w:p w:rsidR="003572F1" w:rsidRDefault="003572F1" w:rsidP="003572F1">
      <w:pPr>
        <w:widowControl/>
        <w:snapToGrid w:val="0"/>
        <w:spacing w:afterLines="50" w:line="240" w:lineRule="auto"/>
        <w:ind w:firstLineChars="1500" w:firstLine="4800"/>
        <w:jc w:val="left"/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</w:p>
    <w:sectPr w:rsidR="003572F1" w:rsidSect="003572F1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3F4" w:rsidRDefault="002C43F4">
      <w:pPr>
        <w:spacing w:line="240" w:lineRule="auto"/>
      </w:pPr>
      <w:r>
        <w:separator/>
      </w:r>
    </w:p>
  </w:endnote>
  <w:endnote w:type="continuationSeparator" w:id="1">
    <w:p w:rsidR="002C43F4" w:rsidRDefault="002C4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3F4" w:rsidRDefault="002C43F4">
      <w:pPr>
        <w:spacing w:line="240" w:lineRule="auto"/>
      </w:pPr>
      <w:r>
        <w:separator/>
      </w:r>
    </w:p>
  </w:footnote>
  <w:footnote w:type="continuationSeparator" w:id="1">
    <w:p w:rsidR="002C43F4" w:rsidRDefault="002C43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339ABA"/>
    <w:multiLevelType w:val="singleLevel"/>
    <w:tmpl w:val="CC339AB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5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wODdmNWY4YWVkMDFkNDkzNDkwMDhjNTA0OTgwZWQifQ=="/>
  </w:docVars>
  <w:rsids>
    <w:rsidRoot w:val="008F63B3"/>
    <w:rsid w:val="00004901"/>
    <w:rsid w:val="00014026"/>
    <w:rsid w:val="00014807"/>
    <w:rsid w:val="00017FF7"/>
    <w:rsid w:val="00023DE7"/>
    <w:rsid w:val="00030F72"/>
    <w:rsid w:val="00034E43"/>
    <w:rsid w:val="00040D85"/>
    <w:rsid w:val="00061B01"/>
    <w:rsid w:val="00066543"/>
    <w:rsid w:val="00070BB0"/>
    <w:rsid w:val="00075962"/>
    <w:rsid w:val="000826EA"/>
    <w:rsid w:val="00087353"/>
    <w:rsid w:val="000A503E"/>
    <w:rsid w:val="000B46EE"/>
    <w:rsid w:val="000C285F"/>
    <w:rsid w:val="000D5256"/>
    <w:rsid w:val="0010438D"/>
    <w:rsid w:val="00105B2F"/>
    <w:rsid w:val="001330D4"/>
    <w:rsid w:val="00134E23"/>
    <w:rsid w:val="00144F9F"/>
    <w:rsid w:val="00145EE8"/>
    <w:rsid w:val="001543F0"/>
    <w:rsid w:val="0015763D"/>
    <w:rsid w:val="00162FCD"/>
    <w:rsid w:val="00165974"/>
    <w:rsid w:val="00167E13"/>
    <w:rsid w:val="00170AB5"/>
    <w:rsid w:val="00171012"/>
    <w:rsid w:val="00182D28"/>
    <w:rsid w:val="00183899"/>
    <w:rsid w:val="00183E1C"/>
    <w:rsid w:val="001A0C10"/>
    <w:rsid w:val="001C3725"/>
    <w:rsid w:val="001D75EA"/>
    <w:rsid w:val="001F0EE4"/>
    <w:rsid w:val="001F4322"/>
    <w:rsid w:val="002005BD"/>
    <w:rsid w:val="0020097B"/>
    <w:rsid w:val="00201E82"/>
    <w:rsid w:val="0022643E"/>
    <w:rsid w:val="00226B59"/>
    <w:rsid w:val="002304EE"/>
    <w:rsid w:val="00235493"/>
    <w:rsid w:val="002434FE"/>
    <w:rsid w:val="00251000"/>
    <w:rsid w:val="00251A47"/>
    <w:rsid w:val="00262B1A"/>
    <w:rsid w:val="00270ED3"/>
    <w:rsid w:val="00271924"/>
    <w:rsid w:val="00283056"/>
    <w:rsid w:val="002B113E"/>
    <w:rsid w:val="002B4629"/>
    <w:rsid w:val="002B52C2"/>
    <w:rsid w:val="002B5BFF"/>
    <w:rsid w:val="002C43F4"/>
    <w:rsid w:val="002C689A"/>
    <w:rsid w:val="002C6E86"/>
    <w:rsid w:val="002D5C59"/>
    <w:rsid w:val="002F29B6"/>
    <w:rsid w:val="0030214F"/>
    <w:rsid w:val="003133F6"/>
    <w:rsid w:val="0032571F"/>
    <w:rsid w:val="00343307"/>
    <w:rsid w:val="00347F81"/>
    <w:rsid w:val="00352AE6"/>
    <w:rsid w:val="003572F1"/>
    <w:rsid w:val="0037404C"/>
    <w:rsid w:val="003800F7"/>
    <w:rsid w:val="00384AF9"/>
    <w:rsid w:val="00390A44"/>
    <w:rsid w:val="003A216F"/>
    <w:rsid w:val="003A6ED8"/>
    <w:rsid w:val="003B073B"/>
    <w:rsid w:val="003B2F97"/>
    <w:rsid w:val="003B4252"/>
    <w:rsid w:val="003B60EA"/>
    <w:rsid w:val="003B68B1"/>
    <w:rsid w:val="003C1290"/>
    <w:rsid w:val="003C6D94"/>
    <w:rsid w:val="003D65C0"/>
    <w:rsid w:val="003E44DD"/>
    <w:rsid w:val="003E565E"/>
    <w:rsid w:val="004105BD"/>
    <w:rsid w:val="0041526A"/>
    <w:rsid w:val="00441201"/>
    <w:rsid w:val="00447AFE"/>
    <w:rsid w:val="004559E4"/>
    <w:rsid w:val="00457BD3"/>
    <w:rsid w:val="0046182B"/>
    <w:rsid w:val="0048664F"/>
    <w:rsid w:val="004A2EEF"/>
    <w:rsid w:val="004A4FBD"/>
    <w:rsid w:val="004A5B44"/>
    <w:rsid w:val="004F389B"/>
    <w:rsid w:val="005055A5"/>
    <w:rsid w:val="005208D1"/>
    <w:rsid w:val="00525365"/>
    <w:rsid w:val="0053568E"/>
    <w:rsid w:val="005449EC"/>
    <w:rsid w:val="00553002"/>
    <w:rsid w:val="005621F2"/>
    <w:rsid w:val="00592B8E"/>
    <w:rsid w:val="00597538"/>
    <w:rsid w:val="0059772B"/>
    <w:rsid w:val="005A5615"/>
    <w:rsid w:val="005B0F4D"/>
    <w:rsid w:val="005B302B"/>
    <w:rsid w:val="005B7F03"/>
    <w:rsid w:val="005D3986"/>
    <w:rsid w:val="005E2722"/>
    <w:rsid w:val="00625D73"/>
    <w:rsid w:val="0062665C"/>
    <w:rsid w:val="006445AA"/>
    <w:rsid w:val="006548C1"/>
    <w:rsid w:val="00661D47"/>
    <w:rsid w:val="0067127E"/>
    <w:rsid w:val="006738C8"/>
    <w:rsid w:val="006839BC"/>
    <w:rsid w:val="00683D0F"/>
    <w:rsid w:val="00684E4C"/>
    <w:rsid w:val="0068534D"/>
    <w:rsid w:val="00692C35"/>
    <w:rsid w:val="00696050"/>
    <w:rsid w:val="006A0ED5"/>
    <w:rsid w:val="006A7EA4"/>
    <w:rsid w:val="006E1315"/>
    <w:rsid w:val="006E222B"/>
    <w:rsid w:val="006F53C1"/>
    <w:rsid w:val="00700BBE"/>
    <w:rsid w:val="007146F7"/>
    <w:rsid w:val="00727212"/>
    <w:rsid w:val="00727B9F"/>
    <w:rsid w:val="007409EF"/>
    <w:rsid w:val="00743F6E"/>
    <w:rsid w:val="00771438"/>
    <w:rsid w:val="007C74D9"/>
    <w:rsid w:val="007D179B"/>
    <w:rsid w:val="007E11FA"/>
    <w:rsid w:val="007E2F39"/>
    <w:rsid w:val="007F3C6D"/>
    <w:rsid w:val="007F4000"/>
    <w:rsid w:val="00800937"/>
    <w:rsid w:val="00811915"/>
    <w:rsid w:val="00814139"/>
    <w:rsid w:val="00817905"/>
    <w:rsid w:val="00827486"/>
    <w:rsid w:val="008326A9"/>
    <w:rsid w:val="00842D1F"/>
    <w:rsid w:val="008614E4"/>
    <w:rsid w:val="00870DD1"/>
    <w:rsid w:val="00886D0E"/>
    <w:rsid w:val="008919F7"/>
    <w:rsid w:val="008A1CD1"/>
    <w:rsid w:val="008D199F"/>
    <w:rsid w:val="008E1742"/>
    <w:rsid w:val="008E45A7"/>
    <w:rsid w:val="008E6D06"/>
    <w:rsid w:val="008F2F54"/>
    <w:rsid w:val="008F63B3"/>
    <w:rsid w:val="00904C7B"/>
    <w:rsid w:val="00910CFB"/>
    <w:rsid w:val="00913C32"/>
    <w:rsid w:val="009205BA"/>
    <w:rsid w:val="00921011"/>
    <w:rsid w:val="00925707"/>
    <w:rsid w:val="00930AD2"/>
    <w:rsid w:val="00934926"/>
    <w:rsid w:val="00956D12"/>
    <w:rsid w:val="00964D5E"/>
    <w:rsid w:val="00967898"/>
    <w:rsid w:val="009729CA"/>
    <w:rsid w:val="00976EE3"/>
    <w:rsid w:val="0097706D"/>
    <w:rsid w:val="009B135E"/>
    <w:rsid w:val="009B4ED3"/>
    <w:rsid w:val="009D0D5C"/>
    <w:rsid w:val="009D11DE"/>
    <w:rsid w:val="009D54D5"/>
    <w:rsid w:val="009F036D"/>
    <w:rsid w:val="009F453F"/>
    <w:rsid w:val="00A005FE"/>
    <w:rsid w:val="00A07904"/>
    <w:rsid w:val="00A13156"/>
    <w:rsid w:val="00A34727"/>
    <w:rsid w:val="00A3544E"/>
    <w:rsid w:val="00A3731C"/>
    <w:rsid w:val="00A435EB"/>
    <w:rsid w:val="00A43886"/>
    <w:rsid w:val="00A50E65"/>
    <w:rsid w:val="00A61340"/>
    <w:rsid w:val="00A773AD"/>
    <w:rsid w:val="00A861DB"/>
    <w:rsid w:val="00A917F5"/>
    <w:rsid w:val="00A96377"/>
    <w:rsid w:val="00AA3287"/>
    <w:rsid w:val="00AC057F"/>
    <w:rsid w:val="00AC264F"/>
    <w:rsid w:val="00AC7849"/>
    <w:rsid w:val="00AD0D45"/>
    <w:rsid w:val="00AD4E40"/>
    <w:rsid w:val="00AE1028"/>
    <w:rsid w:val="00AE412D"/>
    <w:rsid w:val="00AF607D"/>
    <w:rsid w:val="00AF7150"/>
    <w:rsid w:val="00B40398"/>
    <w:rsid w:val="00B479CB"/>
    <w:rsid w:val="00B55534"/>
    <w:rsid w:val="00B568B3"/>
    <w:rsid w:val="00B6118F"/>
    <w:rsid w:val="00B62E12"/>
    <w:rsid w:val="00B70998"/>
    <w:rsid w:val="00B83E0E"/>
    <w:rsid w:val="00B84F72"/>
    <w:rsid w:val="00BA3EF7"/>
    <w:rsid w:val="00BA54F0"/>
    <w:rsid w:val="00BB00F1"/>
    <w:rsid w:val="00BB56EB"/>
    <w:rsid w:val="00BB64FC"/>
    <w:rsid w:val="00BC565F"/>
    <w:rsid w:val="00BC76B2"/>
    <w:rsid w:val="00BD0AF3"/>
    <w:rsid w:val="00BD5A73"/>
    <w:rsid w:val="00BE2F92"/>
    <w:rsid w:val="00C174BD"/>
    <w:rsid w:val="00C23A80"/>
    <w:rsid w:val="00C24ED5"/>
    <w:rsid w:val="00C41057"/>
    <w:rsid w:val="00C76C30"/>
    <w:rsid w:val="00C844E2"/>
    <w:rsid w:val="00C85F58"/>
    <w:rsid w:val="00C956F9"/>
    <w:rsid w:val="00CD2235"/>
    <w:rsid w:val="00CD31A3"/>
    <w:rsid w:val="00CF37E3"/>
    <w:rsid w:val="00D16356"/>
    <w:rsid w:val="00D23FCD"/>
    <w:rsid w:val="00D24338"/>
    <w:rsid w:val="00D26008"/>
    <w:rsid w:val="00D31126"/>
    <w:rsid w:val="00D31678"/>
    <w:rsid w:val="00D461F2"/>
    <w:rsid w:val="00D46237"/>
    <w:rsid w:val="00D47E72"/>
    <w:rsid w:val="00D51E00"/>
    <w:rsid w:val="00D53FB7"/>
    <w:rsid w:val="00D57B6F"/>
    <w:rsid w:val="00D62F9A"/>
    <w:rsid w:val="00D6634D"/>
    <w:rsid w:val="00D816DB"/>
    <w:rsid w:val="00D85226"/>
    <w:rsid w:val="00D9410E"/>
    <w:rsid w:val="00DA3DE3"/>
    <w:rsid w:val="00DB3E1C"/>
    <w:rsid w:val="00DD3E58"/>
    <w:rsid w:val="00DE161F"/>
    <w:rsid w:val="00DF6822"/>
    <w:rsid w:val="00E01717"/>
    <w:rsid w:val="00E06CEB"/>
    <w:rsid w:val="00E10B03"/>
    <w:rsid w:val="00E155AA"/>
    <w:rsid w:val="00E3045C"/>
    <w:rsid w:val="00E3769D"/>
    <w:rsid w:val="00E423CB"/>
    <w:rsid w:val="00E56071"/>
    <w:rsid w:val="00E67115"/>
    <w:rsid w:val="00E84C10"/>
    <w:rsid w:val="00E87E2D"/>
    <w:rsid w:val="00E92A5F"/>
    <w:rsid w:val="00E92D41"/>
    <w:rsid w:val="00EA4890"/>
    <w:rsid w:val="00ED0946"/>
    <w:rsid w:val="00ED5B38"/>
    <w:rsid w:val="00ED5BCE"/>
    <w:rsid w:val="00EE107C"/>
    <w:rsid w:val="00EE6CE5"/>
    <w:rsid w:val="00EE6E3A"/>
    <w:rsid w:val="00EF27DB"/>
    <w:rsid w:val="00EF69F3"/>
    <w:rsid w:val="00F01EC5"/>
    <w:rsid w:val="00F04DC6"/>
    <w:rsid w:val="00F10832"/>
    <w:rsid w:val="00F14C92"/>
    <w:rsid w:val="00F20C5F"/>
    <w:rsid w:val="00F211B3"/>
    <w:rsid w:val="00F27F61"/>
    <w:rsid w:val="00F32D06"/>
    <w:rsid w:val="00F3532F"/>
    <w:rsid w:val="00F61EA6"/>
    <w:rsid w:val="00F71043"/>
    <w:rsid w:val="00F718F5"/>
    <w:rsid w:val="00F71DEB"/>
    <w:rsid w:val="00F72694"/>
    <w:rsid w:val="00F76A31"/>
    <w:rsid w:val="00F77A6C"/>
    <w:rsid w:val="00F82476"/>
    <w:rsid w:val="00F91EF8"/>
    <w:rsid w:val="00FA6D78"/>
    <w:rsid w:val="00FB467F"/>
    <w:rsid w:val="00FE7146"/>
    <w:rsid w:val="020E5596"/>
    <w:rsid w:val="026E093A"/>
    <w:rsid w:val="0435562A"/>
    <w:rsid w:val="04BF387F"/>
    <w:rsid w:val="04C3735B"/>
    <w:rsid w:val="0ADF5FB7"/>
    <w:rsid w:val="1A502AF8"/>
    <w:rsid w:val="1B6F1B8E"/>
    <w:rsid w:val="1C4E0928"/>
    <w:rsid w:val="1E012E11"/>
    <w:rsid w:val="1F6546EB"/>
    <w:rsid w:val="2A9D5AD1"/>
    <w:rsid w:val="2C68486B"/>
    <w:rsid w:val="2DAE0895"/>
    <w:rsid w:val="30D10F27"/>
    <w:rsid w:val="337B5F47"/>
    <w:rsid w:val="3605277F"/>
    <w:rsid w:val="48326701"/>
    <w:rsid w:val="537F056D"/>
    <w:rsid w:val="56B6734F"/>
    <w:rsid w:val="5F6B7BA6"/>
    <w:rsid w:val="6C0E6031"/>
    <w:rsid w:val="6E9F34CB"/>
    <w:rsid w:val="738C0ACD"/>
    <w:rsid w:val="7D7E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3572F1"/>
    <w:pPr>
      <w:widowControl w:val="0"/>
      <w:spacing w:line="5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autoRedefine/>
    <w:uiPriority w:val="99"/>
    <w:unhideWhenUsed/>
    <w:qFormat/>
    <w:rsid w:val="003572F1"/>
    <w:pPr>
      <w:ind w:leftChars="600" w:left="600"/>
    </w:pPr>
    <w:rPr>
      <w:rFonts w:ascii="Verdana" w:hAnsi="Verdana"/>
      <w:szCs w:val="20"/>
    </w:rPr>
  </w:style>
  <w:style w:type="paragraph" w:styleId="a3">
    <w:name w:val="Balloon Text"/>
    <w:basedOn w:val="a"/>
    <w:autoRedefine/>
    <w:semiHidden/>
    <w:qFormat/>
    <w:rsid w:val="003572F1"/>
    <w:rPr>
      <w:sz w:val="18"/>
      <w:szCs w:val="18"/>
    </w:rPr>
  </w:style>
  <w:style w:type="paragraph" w:styleId="a4">
    <w:name w:val="footer"/>
    <w:basedOn w:val="a"/>
    <w:link w:val="Char"/>
    <w:autoRedefine/>
    <w:uiPriority w:val="99"/>
    <w:qFormat/>
    <w:rsid w:val="00357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qFormat/>
    <w:rsid w:val="00357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3572F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autoRedefine/>
    <w:qFormat/>
    <w:rsid w:val="003572F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autoRedefine/>
    <w:uiPriority w:val="22"/>
    <w:qFormat/>
    <w:rsid w:val="003572F1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3572F1"/>
    <w:rPr>
      <w:color w:val="0000FF"/>
      <w:u w:val="single"/>
    </w:rPr>
  </w:style>
  <w:style w:type="character" w:customStyle="1" w:styleId="Char0">
    <w:name w:val="页眉 Char"/>
    <w:link w:val="a5"/>
    <w:autoRedefine/>
    <w:uiPriority w:val="99"/>
    <w:qFormat/>
    <w:rsid w:val="003572F1"/>
    <w:rPr>
      <w:kern w:val="2"/>
      <w:sz w:val="18"/>
      <w:szCs w:val="18"/>
    </w:rPr>
  </w:style>
  <w:style w:type="character" w:customStyle="1" w:styleId="Char">
    <w:name w:val="页脚 Char"/>
    <w:link w:val="a4"/>
    <w:autoRedefine/>
    <w:uiPriority w:val="99"/>
    <w:qFormat/>
    <w:rsid w:val="003572F1"/>
    <w:rPr>
      <w:kern w:val="2"/>
      <w:sz w:val="18"/>
      <w:szCs w:val="18"/>
    </w:rPr>
  </w:style>
  <w:style w:type="paragraph" w:styleId="aa">
    <w:name w:val="No Spacing"/>
    <w:link w:val="Char1"/>
    <w:autoRedefine/>
    <w:uiPriority w:val="1"/>
    <w:qFormat/>
    <w:rsid w:val="003572F1"/>
    <w:pPr>
      <w:spacing w:line="500" w:lineRule="exact"/>
    </w:pPr>
    <w:rPr>
      <w:rFonts w:ascii="Calibri" w:hAnsi="Calibri"/>
      <w:sz w:val="22"/>
      <w:szCs w:val="22"/>
    </w:rPr>
  </w:style>
  <w:style w:type="character" w:customStyle="1" w:styleId="Char1">
    <w:name w:val="无间隔 Char"/>
    <w:link w:val="aa"/>
    <w:autoRedefine/>
    <w:uiPriority w:val="1"/>
    <w:qFormat/>
    <w:rsid w:val="003572F1"/>
    <w:rPr>
      <w:rFonts w:ascii="Calibri" w:hAnsi="Calibri"/>
      <w:sz w:val="22"/>
      <w:szCs w:val="22"/>
      <w:lang w:bidi="ar-SA"/>
    </w:rPr>
  </w:style>
  <w:style w:type="table" w:customStyle="1" w:styleId="1">
    <w:name w:val="网格型1"/>
    <w:basedOn w:val="a1"/>
    <w:autoRedefine/>
    <w:uiPriority w:val="59"/>
    <w:qFormat/>
    <w:rsid w:val="003572F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autoRedefine/>
    <w:uiPriority w:val="99"/>
    <w:unhideWhenUsed/>
    <w:qFormat/>
    <w:rsid w:val="003572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4B7ED-8498-4824-BEFD-5D83774D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3</Pages>
  <Words>184</Words>
  <Characters>1052</Characters>
  <Application>Microsoft Office Word</Application>
  <DocSecurity>0</DocSecurity>
  <Lines>8</Lines>
  <Paragraphs>2</Paragraphs>
  <ScaleCrop>false</ScaleCrop>
  <Company>SJTU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2</cp:lastModifiedBy>
  <cp:revision>14</cp:revision>
  <cp:lastPrinted>2025-04-14T00:09:00Z</cp:lastPrinted>
  <dcterms:created xsi:type="dcterms:W3CDTF">2022-07-28T01:42:00Z</dcterms:created>
  <dcterms:modified xsi:type="dcterms:W3CDTF">2026-04-03T01:59:00Z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CDC5A613AF9A4A17B5998ED4D2F11D48_13</vt:lpwstr>
  </property>
  <property fmtid="{D5CDD505-2E9C-101B-9397-08002B2CF9AE}" pid="4" name="KSOTemplateDocerSaveRecord">
    <vt:lpwstr>eyJoZGlkIjoiNzdlMDVkNDYwYmZkNTE5NGQ0ZTdiYzI2ZDFhMjhiMWQiLCJ1c2VySWQiOiI4MDQyODQ1MTkifQ==</vt:lpwstr>
  </property>
</Properties>
</file>