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5E64E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44"/>
          <w:szCs w:val="44"/>
          <w:lang w:val="en-US" w:eastAsia="zh-CN"/>
        </w:rPr>
      </w:pPr>
    </w:p>
    <w:p w14:paraId="469C520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sz w:val="44"/>
          <w:szCs w:val="44"/>
          <w:lang w:val="en-US" w:eastAsia="zh-CN"/>
        </w:rPr>
      </w:pPr>
      <w:r>
        <w:rPr>
          <w:rFonts w:hint="eastAsia" w:ascii="宋体" w:hAnsi="宋体" w:cs="宋体"/>
          <w:b w:val="0"/>
          <w:bCs w:val="0"/>
          <w:sz w:val="44"/>
          <w:szCs w:val="44"/>
          <w:lang w:val="en-US" w:eastAsia="zh-CN"/>
        </w:rPr>
        <w:t xml:space="preserve"> </w:t>
      </w:r>
    </w:p>
    <w:p w14:paraId="78401C9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44"/>
          <w:szCs w:val="44"/>
          <w:lang w:val="en-US" w:eastAsia="zh-CN"/>
        </w:rPr>
      </w:pPr>
    </w:p>
    <w:p w14:paraId="152FC69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44"/>
          <w:szCs w:val="44"/>
          <w:lang w:val="en-US" w:eastAsia="zh-CN"/>
        </w:rPr>
      </w:pPr>
    </w:p>
    <w:p w14:paraId="46FCE24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44"/>
          <w:szCs w:val="44"/>
          <w:lang w:val="en-US" w:eastAsia="zh-CN"/>
        </w:rPr>
      </w:pPr>
    </w:p>
    <w:p w14:paraId="4C5A50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 w:val="0"/>
          <w:bCs w:val="0"/>
          <w:sz w:val="52"/>
          <w:szCs w:val="52"/>
          <w:lang w:val="en-US" w:eastAsia="zh-CN"/>
        </w:rPr>
      </w:pPr>
      <w:r>
        <w:rPr>
          <w:rFonts w:hint="eastAsia" w:ascii="方正小标宋简体" w:hAnsi="方正小标宋简体" w:eastAsia="方正小标宋简体" w:cs="方正小标宋简体"/>
          <w:b w:val="0"/>
          <w:bCs w:val="0"/>
          <w:sz w:val="52"/>
          <w:szCs w:val="52"/>
          <w:lang w:val="en-US" w:eastAsia="zh-CN"/>
        </w:rPr>
        <w:t>医院统一数据上报平台集成服务（2026）</w:t>
      </w:r>
    </w:p>
    <w:p w14:paraId="668EF7E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 w:val="0"/>
          <w:bCs w:val="0"/>
          <w:sz w:val="52"/>
          <w:szCs w:val="52"/>
          <w:lang w:val="en-US" w:eastAsia="zh-CN"/>
        </w:rPr>
      </w:pPr>
      <w:r>
        <w:rPr>
          <w:rFonts w:hint="eastAsia" w:ascii="方正小标宋简体" w:hAnsi="方正小标宋简体" w:eastAsia="方正小标宋简体" w:cs="方正小标宋简体"/>
          <w:b w:val="0"/>
          <w:bCs w:val="0"/>
          <w:sz w:val="52"/>
          <w:szCs w:val="52"/>
          <w:lang w:val="en-US" w:eastAsia="zh-CN"/>
        </w:rPr>
        <w:t>采购需求书</w:t>
      </w:r>
    </w:p>
    <w:p w14:paraId="439D52B4">
      <w:pPr>
        <w:rPr>
          <w:rFonts w:hint="eastAsia" w:ascii="方正小标宋简体" w:hAnsi="方正小标宋简体" w:eastAsia="方正小标宋简体" w:cs="方正小标宋简体"/>
          <w:b w:val="0"/>
          <w:bCs w:val="0"/>
          <w:sz w:val="52"/>
          <w:szCs w:val="52"/>
          <w:lang w:val="en-US" w:eastAsia="zh-CN"/>
        </w:rPr>
      </w:pPr>
      <w:r>
        <w:rPr>
          <w:rFonts w:hint="eastAsia" w:ascii="方正小标宋简体" w:hAnsi="方正小标宋简体" w:eastAsia="方正小标宋简体" w:cs="方正小标宋简体"/>
          <w:b w:val="0"/>
          <w:bCs w:val="0"/>
          <w:sz w:val="52"/>
          <w:szCs w:val="52"/>
          <w:lang w:val="en-US" w:eastAsia="zh-CN"/>
        </w:rPr>
        <w:br w:type="page"/>
      </w:r>
    </w:p>
    <w:p w14:paraId="72A1AE50">
      <w:pPr>
        <w:keepNext w:val="0"/>
        <w:keepLines w:val="0"/>
        <w:pageBreakBefore w:val="0"/>
        <w:numPr>
          <w:numId w:val="0"/>
        </w:numPr>
        <w:kinsoku/>
        <w:wordWrap/>
        <w:overflowPunct/>
        <w:topLinePunct w:val="0"/>
        <w:autoSpaceDE/>
        <w:autoSpaceDN/>
        <w:bidi w:val="0"/>
        <w:adjustRightInd/>
        <w:spacing w:line="360" w:lineRule="auto"/>
        <w:textAlignment w:val="auto"/>
        <w:rPr>
          <w:rFonts w:hint="eastAsia" w:ascii="黑体" w:hAnsi="黑体" w:eastAsia="黑体" w:cs="黑体"/>
          <w:b/>
          <w:bCs/>
          <w:sz w:val="28"/>
          <w:szCs w:val="28"/>
          <w:lang w:val="en-US" w:eastAsia="zh-CN"/>
        </w:rPr>
        <w:sectPr>
          <w:pgSz w:w="11906" w:h="16838"/>
          <w:pgMar w:top="1440" w:right="1800" w:bottom="1440" w:left="1800" w:header="851" w:footer="992" w:gutter="0"/>
          <w:cols w:space="720" w:num="1"/>
          <w:docGrid w:type="lines" w:linePitch="312" w:charSpace="0"/>
        </w:sectPr>
      </w:pPr>
      <w:bookmarkStart w:id="2" w:name="_GoBack"/>
      <w:bookmarkEnd w:id="2"/>
    </w:p>
    <w:p w14:paraId="45A8943B">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jc w:val="both"/>
        <w:textAlignment w:val="auto"/>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一、项目概况及总体要求</w:t>
      </w:r>
    </w:p>
    <w:p w14:paraId="565E64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both"/>
        <w:textAlignment w:val="auto"/>
        <w:outlineLvl w:val="9"/>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1、项目名称</w:t>
      </w:r>
    </w:p>
    <w:p w14:paraId="30F959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医院统一数据上报平台集成服务（2026）</w:t>
      </w:r>
    </w:p>
    <w:p w14:paraId="5648FB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both"/>
        <w:textAlignment w:val="auto"/>
        <w:outlineLvl w:val="9"/>
        <w:rPr>
          <w:rFonts w:hint="default" w:ascii="楷体" w:hAnsi="楷体" w:eastAsia="楷体" w:cs="楷体"/>
          <w:b/>
          <w:bCs/>
          <w:sz w:val="28"/>
          <w:szCs w:val="28"/>
          <w:lang w:val="en-US" w:eastAsia="zh-CN"/>
        </w:rPr>
      </w:pPr>
      <w:bookmarkStart w:id="0" w:name="OLE_LINK2"/>
      <w:r>
        <w:rPr>
          <w:rFonts w:hint="eastAsia" w:ascii="楷体" w:hAnsi="楷体" w:eastAsia="楷体" w:cs="楷体"/>
          <w:b/>
          <w:bCs/>
          <w:sz w:val="28"/>
          <w:szCs w:val="28"/>
          <w:lang w:val="en-US" w:eastAsia="zh-CN"/>
        </w:rPr>
        <w:t>2、采购背景</w:t>
      </w:r>
    </w:p>
    <w:p w14:paraId="06737E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我院2025年采购的“医院统一数据上报平台集成服务”项目的主要功能为对医院数据中心信息平台的数据更新、融合、清洗、互联互通等系统维保工作及数据采集、联调、质控等数据上报服务两部分内容。</w:t>
      </w:r>
    </w:p>
    <w:p w14:paraId="6BF1C8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其中，数据中心维保工作主要对医院数据资产开展结构化梳理与重构，实时捕获数据同步异常任务并修复；优化患者主索引清洗规则，持续接入各类信息系统的新增数据元素，截至目前已完成全院数十个核心系统超过7TB业务数据的采集、清洗、治理与整合，为国家公立医院绩效考核、等级医院评审、省级临床重点专科评审、卫生高级职称评定、国家智慧医疗分级测评等工作提供重要的数据支撑服务。</w:t>
      </w:r>
    </w:p>
    <w:p w14:paraId="70888C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此外，该项目承担了江苏省全民健康信息平台、江苏省互联网医疗监管平台、合理诊疗智慧监管数据上传、NCPCS国家儿童肿瘤监测数据上报等近20项数据上报任务。根据2026年江苏省卫生健康委员会的最新通知要求（见附件1），医疗机构需进一步严格管控数据完整性、准确性、及时性等数据质量指标，并严格按照国家规定采用“T+1”频率规范数据报送流程，对我院数据上报工作提出了更高标准。</w:t>
      </w:r>
    </w:p>
    <w:p w14:paraId="154A63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firstLineChars="200"/>
        <w:jc w:val="both"/>
        <w:textAlignment w:val="auto"/>
        <w:outlineLvl w:val="9"/>
        <w:rPr>
          <w:rFonts w:hint="eastAsia"/>
          <w:lang w:val="en-US" w:eastAsia="zh-CN"/>
        </w:rPr>
      </w:pPr>
      <w:r>
        <w:rPr>
          <w:rFonts w:hint="eastAsia" w:ascii="仿宋" w:hAnsi="仿宋" w:eastAsia="仿宋" w:cs="仿宋"/>
          <w:sz w:val="24"/>
          <w:szCs w:val="24"/>
          <w:lang w:val="en-US" w:eastAsia="zh-CN"/>
        </w:rPr>
        <w:t>鉴于原服务项目合同即将到期，为保障医院数据中心运维管理及各项数据上报工作持续稳定开展，现申请启动新一轮采购工作。</w:t>
      </w:r>
    </w:p>
    <w:p w14:paraId="579351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562" w:firstLineChars="200"/>
        <w:jc w:val="both"/>
        <w:textAlignment w:val="auto"/>
        <w:outlineLvl w:val="9"/>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3、项目目标</w:t>
      </w:r>
    </w:p>
    <w:p w14:paraId="7CE2E94B">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一，完成数据上报支撑保障工作。一是确保各业务系统与数据中心的互联互通，定期对ESB服务总线、消息推送平台、已对接第三方接口、集成平台监控中心等开展维护工作，保障基础业务交互稳定有序；二是定期维护数据开发中心，保障原始业务数据库与数据中心的数据精准对齐，确保上报的数据不遗漏；三是定期维护EMPI患者主索引、MDM主数据及ETL工具，做好患者主数据清洗、临床业务数据治理工作，确保上报数据高质量；四是定期维护患者360平台，确保业务数据的完整性和及时性；五是完成业务数据镜像ODS、临床数据中心CDR、运营数据中心ORD、医院运营管理决策支持系统等数据仓库及相关服务器的巡检与维护，保障各项数据上报任务稳定推进、顺利完成。</w:t>
      </w:r>
    </w:p>
    <w:p w14:paraId="57A4B829">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二，完成数据上报全链路服务。运用统一数据上报工具，对各项数据上报任务实施项目制管理，统一监管上报进度与数据质量；结合医院各信息系统数据字典的变更情况，实时调整数据上报平台的数据源、视图脚本、质控规则及映射方式；针对新增或调整的上报任务，及时做好响应处置；全程支持数据上报流程设计、上报联调、质量校验以及前置机与接口的迁移、日常管理等相关工作。</w:t>
      </w:r>
    </w:p>
    <w:bookmarkEnd w:id="0"/>
    <w:p w14:paraId="02101B5D">
      <w:pPr>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二、采购用途</w:t>
      </w:r>
    </w:p>
    <w:p w14:paraId="3A2176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both"/>
        <w:textAlignment w:val="auto"/>
        <w:outlineLvl w:val="9"/>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1、采购用途</w:t>
      </w:r>
    </w:p>
    <w:p w14:paraId="6413F068">
      <w:pPr>
        <w:keepNext w:val="0"/>
        <w:keepLines w:val="0"/>
        <w:pageBreakBefore w:val="0"/>
        <w:kinsoku/>
        <w:wordWrap/>
        <w:overflowPunct/>
        <w:topLinePunct w:val="0"/>
        <w:bidi w:val="0"/>
        <w:spacing w:line="360" w:lineRule="auto"/>
        <w:ind w:firstLine="480" w:firstLineChars="200"/>
        <w:textAlignment w:val="auto"/>
        <w:outlineLvl w:val="0"/>
        <w:rPr>
          <w:rFonts w:hint="eastAsia" w:ascii="仿宋" w:hAnsi="仿宋" w:eastAsia="仿宋" w:cs="仿宋"/>
          <w:sz w:val="24"/>
          <w:szCs w:val="24"/>
        </w:rPr>
      </w:pPr>
      <w:r>
        <w:rPr>
          <w:rFonts w:hint="eastAsia" w:ascii="仿宋" w:hAnsi="仿宋" w:eastAsia="仿宋" w:cs="仿宋"/>
          <w:sz w:val="24"/>
          <w:szCs w:val="24"/>
        </w:rPr>
        <w:t xml:space="preserve">□科研  □教学  </w:t>
      </w:r>
      <w:r>
        <w:rPr>
          <w:rFonts w:hint="eastAsia" w:ascii="仿宋" w:hAnsi="仿宋" w:eastAsia="仿宋" w:cs="仿宋"/>
          <w:sz w:val="24"/>
          <w:szCs w:val="24"/>
        </w:rPr>
        <w:sym w:font="Wingdings 2" w:char="00A3"/>
      </w:r>
      <w:r>
        <w:rPr>
          <w:rFonts w:hint="eastAsia" w:ascii="仿宋" w:hAnsi="仿宋" w:eastAsia="仿宋" w:cs="仿宋"/>
          <w:sz w:val="24"/>
          <w:szCs w:val="24"/>
        </w:rPr>
        <w:t xml:space="preserve">医疗  </w:t>
      </w:r>
      <w:r>
        <w:rPr>
          <w:rFonts w:hint="eastAsia" w:ascii="仿宋" w:hAnsi="仿宋" w:eastAsia="仿宋" w:cs="仿宋"/>
          <w:sz w:val="24"/>
          <w:szCs w:val="24"/>
        </w:rPr>
        <w:sym w:font="Wingdings 2" w:char="0052"/>
      </w:r>
      <w:r>
        <w:rPr>
          <w:rFonts w:hint="eastAsia" w:ascii="仿宋" w:hAnsi="仿宋" w:eastAsia="仿宋" w:cs="仿宋"/>
          <w:sz w:val="24"/>
          <w:szCs w:val="24"/>
        </w:rPr>
        <w:t xml:space="preserve">管理  □后勤  </w:t>
      </w:r>
      <w:r>
        <w:rPr>
          <w:rFonts w:hint="eastAsia" w:ascii="仿宋" w:hAnsi="仿宋" w:eastAsia="仿宋" w:cs="仿宋"/>
          <w:sz w:val="24"/>
          <w:szCs w:val="24"/>
        </w:rPr>
        <w:sym w:font="Wingdings 2" w:char="00A3"/>
      </w:r>
      <w:r>
        <w:rPr>
          <w:rFonts w:hint="eastAsia" w:ascii="仿宋" w:hAnsi="仿宋" w:eastAsia="仿宋" w:cs="仿宋"/>
          <w:sz w:val="24"/>
          <w:szCs w:val="24"/>
        </w:rPr>
        <w:t xml:space="preserve">其他 </w:t>
      </w:r>
    </w:p>
    <w:p w14:paraId="72792B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both"/>
        <w:textAlignment w:val="auto"/>
        <w:outlineLvl w:val="9"/>
        <w:rPr>
          <w:rFonts w:hint="eastAsia" w:ascii="仿宋" w:hAnsi="仿宋" w:eastAsia="仿宋" w:cs="仿宋"/>
          <w:sz w:val="24"/>
          <w:szCs w:val="24"/>
          <w:lang w:val="en-US" w:eastAsia="zh-CN"/>
        </w:rPr>
      </w:pPr>
      <w:r>
        <w:rPr>
          <w:rFonts w:hint="eastAsia" w:ascii="楷体" w:hAnsi="楷体" w:eastAsia="楷体" w:cs="楷体"/>
          <w:b/>
          <w:bCs/>
          <w:sz w:val="28"/>
          <w:szCs w:val="28"/>
          <w:lang w:val="en-US" w:eastAsia="zh-CN"/>
        </w:rPr>
        <w:t>2、用途说明</w:t>
      </w:r>
    </w:p>
    <w:p w14:paraId="0A3530A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firstLineChars="200"/>
        <w:jc w:val="both"/>
        <w:textAlignment w:val="auto"/>
        <w:outlineLvl w:val="9"/>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通过</w:t>
      </w:r>
      <w:r>
        <w:rPr>
          <w:rFonts w:hint="eastAsia" w:ascii="仿宋" w:hAnsi="仿宋" w:eastAsia="仿宋" w:cs="仿宋"/>
          <w:sz w:val="24"/>
          <w:szCs w:val="24"/>
          <w:lang w:val="en-US" w:eastAsia="zh-CN"/>
        </w:rPr>
        <w:t>医院统一数据上报平台集成服务（2026）项目，对</w:t>
      </w:r>
      <w:r>
        <w:rPr>
          <w:rFonts w:hint="eastAsia" w:ascii="仿宋" w:hAnsi="仿宋" w:eastAsia="仿宋" w:cs="仿宋"/>
          <w:kern w:val="2"/>
          <w:sz w:val="24"/>
          <w:szCs w:val="24"/>
          <w:lang w:val="en-US" w:eastAsia="zh-CN" w:bidi="ar-SA"/>
        </w:rPr>
        <w:t>医院数据上报工作及数据中心维保工作开展持续服务，对国考、医疗、科研、质管、绩效、服务、运营等医院核心领域提供重要支撑作用。</w:t>
      </w:r>
    </w:p>
    <w:p w14:paraId="70986731">
      <w:pPr>
        <w:spacing w:line="360" w:lineRule="auto"/>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三、采购需求一览表（服务类）：</w:t>
      </w:r>
    </w:p>
    <w:tbl>
      <w:tblPr>
        <w:tblStyle w:val="17"/>
        <w:tblW w:w="87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4159"/>
        <w:gridCol w:w="2050"/>
        <w:gridCol w:w="1875"/>
      </w:tblGrid>
      <w:tr w14:paraId="6D370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09" w:type="dxa"/>
            <w:vAlign w:val="center"/>
          </w:tcPr>
          <w:p w14:paraId="131D774D">
            <w:pPr>
              <w:jc w:val="center"/>
              <w:rPr>
                <w:rFonts w:hint="eastAsia" w:ascii="仿宋" w:hAnsi="仿宋" w:eastAsia="仿宋" w:cs="仿宋"/>
                <w:b/>
                <w:bCs/>
              </w:rPr>
            </w:pPr>
            <w:r>
              <w:rPr>
                <w:rFonts w:hint="eastAsia" w:ascii="仿宋" w:hAnsi="仿宋" w:eastAsia="仿宋" w:cs="仿宋"/>
                <w:b/>
                <w:bCs/>
              </w:rPr>
              <w:t>序号</w:t>
            </w:r>
          </w:p>
        </w:tc>
        <w:tc>
          <w:tcPr>
            <w:tcW w:w="4159" w:type="dxa"/>
            <w:vAlign w:val="center"/>
          </w:tcPr>
          <w:p w14:paraId="183AB5A3">
            <w:pPr>
              <w:widowControl/>
              <w:jc w:val="center"/>
              <w:rPr>
                <w:rFonts w:hint="eastAsia" w:ascii="仿宋" w:hAnsi="仿宋" w:eastAsia="仿宋" w:cs="仿宋"/>
                <w:b/>
                <w:bCs/>
              </w:rPr>
            </w:pPr>
            <w:r>
              <w:rPr>
                <w:rFonts w:hint="eastAsia" w:ascii="仿宋" w:hAnsi="仿宋" w:eastAsia="仿宋" w:cs="仿宋"/>
                <w:b/>
                <w:bCs/>
                <w:lang w:val="en-US" w:eastAsia="zh-CN"/>
              </w:rPr>
              <w:t>服务</w:t>
            </w:r>
            <w:r>
              <w:rPr>
                <w:rFonts w:hint="eastAsia" w:ascii="仿宋" w:hAnsi="仿宋" w:eastAsia="仿宋" w:cs="仿宋"/>
                <w:b/>
                <w:bCs/>
              </w:rPr>
              <w:t>名称</w:t>
            </w:r>
          </w:p>
        </w:tc>
        <w:tc>
          <w:tcPr>
            <w:tcW w:w="2050" w:type="dxa"/>
            <w:vAlign w:val="center"/>
          </w:tcPr>
          <w:p w14:paraId="676C1BD6">
            <w:pPr>
              <w:widowControl/>
              <w:spacing w:line="360" w:lineRule="auto"/>
              <w:jc w:val="center"/>
              <w:rPr>
                <w:rFonts w:hint="eastAsia" w:ascii="仿宋" w:hAnsi="仿宋" w:eastAsia="仿宋" w:cs="仿宋"/>
                <w:b/>
                <w:bCs/>
              </w:rPr>
            </w:pPr>
            <w:r>
              <w:rPr>
                <w:rFonts w:hint="eastAsia" w:ascii="仿宋" w:hAnsi="仿宋" w:eastAsia="仿宋" w:cs="仿宋"/>
                <w:b/>
                <w:bCs/>
              </w:rPr>
              <w:t>单位</w:t>
            </w:r>
          </w:p>
        </w:tc>
        <w:tc>
          <w:tcPr>
            <w:tcW w:w="1875" w:type="dxa"/>
            <w:vAlign w:val="center"/>
          </w:tcPr>
          <w:p w14:paraId="4C0D8251">
            <w:pPr>
              <w:widowControl/>
              <w:spacing w:line="360" w:lineRule="auto"/>
              <w:jc w:val="center"/>
              <w:rPr>
                <w:rFonts w:hint="eastAsia" w:ascii="仿宋" w:hAnsi="仿宋" w:eastAsia="仿宋" w:cs="仿宋"/>
                <w:b/>
                <w:bCs/>
              </w:rPr>
            </w:pPr>
            <w:r>
              <w:rPr>
                <w:rFonts w:hint="eastAsia" w:ascii="仿宋" w:hAnsi="仿宋" w:eastAsia="仿宋" w:cs="仿宋"/>
                <w:b/>
                <w:bCs/>
              </w:rPr>
              <w:t>数量</w:t>
            </w:r>
          </w:p>
        </w:tc>
      </w:tr>
      <w:tr w14:paraId="0FD59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09" w:type="dxa"/>
            <w:vAlign w:val="center"/>
          </w:tcPr>
          <w:p w14:paraId="7B89DB70">
            <w:pPr>
              <w:jc w:val="center"/>
              <w:rPr>
                <w:rFonts w:hint="eastAsia" w:ascii="仿宋" w:hAnsi="仿宋" w:eastAsia="仿宋" w:cs="仿宋"/>
              </w:rPr>
            </w:pPr>
            <w:r>
              <w:rPr>
                <w:rFonts w:hint="eastAsia" w:ascii="仿宋" w:hAnsi="仿宋" w:eastAsia="仿宋" w:cs="仿宋"/>
              </w:rPr>
              <w:t>1</w:t>
            </w:r>
          </w:p>
        </w:tc>
        <w:tc>
          <w:tcPr>
            <w:tcW w:w="4159" w:type="dxa"/>
            <w:vAlign w:val="center"/>
          </w:tcPr>
          <w:p w14:paraId="5326D3F0">
            <w:pPr>
              <w:widowControl/>
              <w:jc w:val="center"/>
              <w:rPr>
                <w:rFonts w:hint="eastAsia" w:ascii="仿宋" w:hAnsi="仿宋" w:eastAsia="仿宋" w:cs="仿宋"/>
              </w:rPr>
            </w:pPr>
            <w:r>
              <w:rPr>
                <w:rFonts w:hint="eastAsia" w:ascii="仿宋" w:hAnsi="仿宋" w:eastAsia="仿宋" w:cs="仿宋"/>
              </w:rPr>
              <w:t>医院统一数据上报平台集成服务（2026）</w:t>
            </w:r>
          </w:p>
        </w:tc>
        <w:tc>
          <w:tcPr>
            <w:tcW w:w="2050" w:type="dxa"/>
            <w:vAlign w:val="center"/>
          </w:tcPr>
          <w:p w14:paraId="4FAE23BE">
            <w:pPr>
              <w:widowControl/>
              <w:spacing w:line="360" w:lineRule="auto"/>
              <w:jc w:val="center"/>
              <w:rPr>
                <w:rFonts w:hint="eastAsia" w:ascii="仿宋" w:hAnsi="仿宋" w:eastAsia="仿宋" w:cs="仿宋"/>
              </w:rPr>
            </w:pPr>
            <w:r>
              <w:rPr>
                <w:rFonts w:hint="eastAsia" w:ascii="仿宋" w:hAnsi="仿宋" w:eastAsia="仿宋" w:cs="仿宋"/>
              </w:rPr>
              <w:t>年</w:t>
            </w:r>
          </w:p>
        </w:tc>
        <w:tc>
          <w:tcPr>
            <w:tcW w:w="1875" w:type="dxa"/>
            <w:vAlign w:val="center"/>
          </w:tcPr>
          <w:p w14:paraId="11978CD6">
            <w:pPr>
              <w:widowControl/>
              <w:spacing w:line="360" w:lineRule="auto"/>
              <w:jc w:val="center"/>
              <w:rPr>
                <w:rFonts w:hint="eastAsia" w:ascii="仿宋" w:hAnsi="仿宋" w:eastAsia="仿宋" w:cs="仿宋"/>
                <w:lang w:eastAsia="zh-CN"/>
              </w:rPr>
            </w:pPr>
            <w:r>
              <w:rPr>
                <w:rFonts w:hint="eastAsia" w:ascii="仿宋" w:hAnsi="仿宋" w:eastAsia="仿宋" w:cs="仿宋"/>
                <w:lang w:val="en-US" w:eastAsia="zh-CN"/>
              </w:rPr>
              <w:t>1</w:t>
            </w:r>
          </w:p>
        </w:tc>
      </w:tr>
    </w:tbl>
    <w:p w14:paraId="221BA331">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jc w:val="both"/>
        <w:textAlignment w:val="auto"/>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四、技术指标</w:t>
      </w:r>
    </w:p>
    <w:p w14:paraId="3C53BA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both"/>
        <w:textAlignment w:val="auto"/>
        <w:outlineLvl w:val="9"/>
        <w:rPr>
          <w:rFonts w:hint="default" w:ascii="楷体" w:hAnsi="楷体" w:eastAsia="楷体" w:cs="楷体"/>
          <w:b/>
          <w:bCs/>
          <w:sz w:val="28"/>
          <w:szCs w:val="28"/>
          <w:lang w:val="en-US" w:eastAsia="zh-CN"/>
        </w:rPr>
      </w:pPr>
      <w:r>
        <w:rPr>
          <w:rFonts w:hint="eastAsia" w:ascii="楷体" w:hAnsi="楷体" w:eastAsia="楷体" w:cs="楷体"/>
          <w:b/>
          <w:bCs/>
          <w:sz w:val="28"/>
          <w:szCs w:val="28"/>
          <w:lang w:val="en-US" w:eastAsia="zh-CN"/>
        </w:rPr>
        <w:t>1、数据上报支撑保障</w:t>
      </w:r>
    </w:p>
    <w:p w14:paraId="6C9CD2C1">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（1）信息集成平台维护</w:t>
      </w:r>
    </w:p>
    <w:p w14:paraId="6A2D5C36">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①ESB企业服务总线</w:t>
      </w:r>
    </w:p>
    <w:p w14:paraId="46DE2B81">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·定期检查服务器网关、节点信息，保障ESB接口正常交互，及时发现并排查处理已接入ESB系统的各厂商间接口交互问题等：</w:t>
      </w:r>
    </w:p>
    <w:p w14:paraId="6602DFD0">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·定期的系统巡检服务，进行交互日志、引擎节点的运转情况进行每日的巡检服务，以保障ESB的正常稳定运转；</w:t>
      </w:r>
    </w:p>
    <w:p w14:paraId="5E6D4C73">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·新增接口的开发指导：对于医院新增接口的开发工作，协助指导院方信息人员进行接口的开发指导工作；</w:t>
      </w:r>
    </w:p>
    <w:p w14:paraId="71C97B86">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·接口交互监管：针对重点接口的日常监控监管，保障接口交易的稳定性，以及问题的排查处理工作；</w:t>
      </w:r>
    </w:p>
    <w:p w14:paraId="353E13DE">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lang w:val="en-US" w:eastAsia="zh-CN"/>
        </w:rPr>
      </w:pPr>
      <w:bookmarkStart w:id="1" w:name="OLE_LINK1"/>
      <w:r>
        <w:rPr>
          <w:rFonts w:hint="eastAsia" w:ascii="仿宋" w:hAnsi="仿宋" w:eastAsia="仿宋" w:cs="仿宋"/>
          <w:sz w:val="24"/>
          <w:szCs w:val="24"/>
          <w:lang w:val="en-US" w:eastAsia="zh-CN"/>
        </w:rPr>
        <w:t>·</w:t>
      </w:r>
      <w:bookmarkEnd w:id="1"/>
      <w:r>
        <w:rPr>
          <w:rFonts w:hint="eastAsia" w:ascii="仿宋" w:hAnsi="仿宋" w:eastAsia="仿宋" w:cs="仿宋"/>
          <w:sz w:val="24"/>
          <w:szCs w:val="24"/>
          <w:lang w:val="en-US" w:eastAsia="zh-CN"/>
        </w:rPr>
        <w:t>新功能需求及产品升级：提供ESB产品的新功能升级服务，保障产品的先进性。‌</w:t>
      </w:r>
    </w:p>
    <w:p w14:paraId="2F7D5EE8">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②集成平台监控中心</w:t>
      </w:r>
    </w:p>
    <w:p w14:paraId="14F3F0E2">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·定期对PC端、移动端监控系统的运行状态进行监测，包括系统的交易量、异常推送消息、应用系统服务状况、24h交易量分析、引擎消耗情况、应用交互排名情况、异常排行。</w:t>
      </w:r>
    </w:p>
    <w:p w14:paraId="69450C6C">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③集成平台管理门户</w:t>
      </w:r>
    </w:p>
    <w:p w14:paraId="0AD0BBD2">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·定期已对接接口交互状态，及时发现并排查处理已接入ESB系统的各厂商间接口交互问题。</w:t>
      </w:r>
    </w:p>
    <w:p w14:paraId="4A3B196C">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④统一身份认证和单点登录</w:t>
      </w:r>
    </w:p>
    <w:p w14:paraId="1329D294">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需确保本系统的正常运行，并对医院内其他应用系统的接入提供技术支持服务，根据业务科室的要求进行功能优化。具体维护项目需包含以下内容：</w:t>
      </w:r>
    </w:p>
    <w:p w14:paraId="5186DA45">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·查看统一门户系统是否正常登陆；</w:t>
      </w:r>
    </w:p>
    <w:p w14:paraId="7F245763">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·查看各项单点登录配置是否正常。</w:t>
      </w:r>
    </w:p>
    <w:p w14:paraId="6EB7BC8E">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（2）数据中心维护</w:t>
      </w:r>
    </w:p>
    <w:p w14:paraId="0878A297">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①MDM主数据管理系统</w:t>
      </w:r>
    </w:p>
    <w:p w14:paraId="2B0F9925">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·字典数据准确性要求：需确保院内字典主数据的一致性和准确性问题，及时发现问题并及时修改；</w:t>
      </w:r>
    </w:p>
    <w:p w14:paraId="4CAB3101">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·主数据维护：需协助医院进行基础数据的管理维护等工作。</w:t>
      </w:r>
    </w:p>
    <w:p w14:paraId="2F8AC671">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②ETL工具 </w:t>
      </w:r>
    </w:p>
    <w:p w14:paraId="27146630">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·需定期检查ETL数据仓库中间件所有集成的数据抽取、转换规则、作业执行状态。</w:t>
      </w:r>
    </w:p>
    <w:p w14:paraId="21DF503B">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·ETL开发支持：需对于医院新增数据业务及数据抽取的开发工作，协助指导院方信息人员进行接口的开发指导工作；</w:t>
      </w:r>
    </w:p>
    <w:p w14:paraId="4EFAE5DA">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·ETL作业调度监控：数据中心ETL作业的调度监控，如存在调度异常需及时进行处理，保障数据的一致性和准确性。</w:t>
      </w:r>
    </w:p>
    <w:p w14:paraId="3663F553">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③ODS业务数据镜像</w:t>
      </w:r>
    </w:p>
    <w:p w14:paraId="6A1BB0B8">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聚焦ODS层数据镜像的完整性、一致性与时效性，根据医院应用系统的调整进行数据同步的更新，及时发现问题并及时修改。当业务部门发现数据准确性问题的时候，需要能及时进行核对，并帮助修改数据准确性问题。</w:t>
      </w:r>
    </w:p>
    <w:p w14:paraId="12FA3EE5">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④ODR运营数据中心</w:t>
      </w:r>
    </w:p>
    <w:p w14:paraId="04833CB3">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·定期检查ODR运营数据中心数据抽取质量，对缺失数据进行排查补抽。</w:t>
      </w:r>
    </w:p>
    <w:p w14:paraId="6365CB9A">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⑤CDR临床数据中心</w:t>
      </w:r>
    </w:p>
    <w:p w14:paraId="78DB2729">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·需确保临床数据中心的数据准确性，并且根据医院应用系统的调整进行数据同步的更新，及时发现问题并及时修改。当业务部门发现数据准确性问题的时候，需要能及时进行核对，并帮助修改数据准确性问题；</w:t>
      </w:r>
    </w:p>
    <w:p w14:paraId="7C78EF96">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·需定期检查CDR临床数据中心数据库服务器性能，数据抽取的完整性，以确保将患者所有医疗信息在360完整展示。</w:t>
      </w:r>
    </w:p>
    <w:p w14:paraId="6CD9C56D">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⑥EMPI患者主索引</w:t>
      </w:r>
    </w:p>
    <w:p w14:paraId="72F68F41">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·确保患者索引关系的正确建立，对于日常使用过程中发现的问题进行修复。具体维护内容需包含以下内容：</w:t>
      </w:r>
    </w:p>
    <w:p w14:paraId="7834D036">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·查看EMPI系统是否正常登陆；</w:t>
      </w:r>
    </w:p>
    <w:p w14:paraId="484DFC30">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·查看抽取mpi_data_source工作流是否正常；</w:t>
      </w:r>
    </w:p>
    <w:p w14:paraId="2AFC5602">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·查看抽取pi_data_source到ES工作流是否正常；</w:t>
      </w:r>
    </w:p>
    <w:p w14:paraId="35E4F69E">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·查看实时清洗接口是否正常；</w:t>
      </w:r>
    </w:p>
    <w:p w14:paraId="4C1F819B">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·查看EMPI每天清洗量是否正常。</w:t>
      </w:r>
    </w:p>
    <w:p w14:paraId="2B6366E3">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⑦患者360全息视图</w:t>
      </w:r>
    </w:p>
    <w:p w14:paraId="4C6F7FEE">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·对医院在患者360视图日常使用过程中发现的问题进行及时回复和处理。具体维护项目需包含以下内容：</w:t>
      </w:r>
    </w:p>
    <w:p w14:paraId="0F5E1288">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·查看患者360系统是否正常登陆；</w:t>
      </w:r>
    </w:p>
    <w:p w14:paraId="3DAE83F6">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·查看门诊住院病人数据能否展示；</w:t>
      </w:r>
    </w:p>
    <w:p w14:paraId="0D9D2009">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·查看门诊住院历史次数展示是否正常；</w:t>
      </w:r>
    </w:p>
    <w:p w14:paraId="109B9E3E">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·查看抽取检查、检验、处方等事件的工作流是否正常抽取。</w:t>
      </w:r>
    </w:p>
    <w:p w14:paraId="745D02D6">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⑧医院运营管理决策支持系统</w:t>
      </w:r>
    </w:p>
    <w:p w14:paraId="30AE4DA9">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·需定期巡检医院运营管理决策支持系统服务器和数据库，确保运行稳定；</w:t>
      </w:r>
    </w:p>
    <w:p w14:paraId="633615B1">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·需确保运营数据中心的数据准确性，当业务部门发现数据准确性问题的时候，需要能及时进行核对，并帮助修改数据准确性问题；</w:t>
      </w:r>
    </w:p>
    <w:p w14:paraId="7C45C890">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·确保PC端和移动端的BI决策支持展现；确保系统的正常运行，如：排查访问错误卡顿问题、科室维护、权限设置、报表汇总等。‌</w:t>
      </w:r>
    </w:p>
    <w:p w14:paraId="4FAEC3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both"/>
        <w:textAlignment w:val="auto"/>
        <w:outlineLvl w:val="9"/>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2、数据上报全链路服务</w:t>
      </w:r>
    </w:p>
    <w:tbl>
      <w:tblPr>
        <w:tblStyle w:val="17"/>
        <w:tblW w:w="890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01"/>
        <w:gridCol w:w="1450"/>
        <w:gridCol w:w="861"/>
        <w:gridCol w:w="5894"/>
      </w:tblGrid>
      <w:tr w14:paraId="2C7FD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trPr>
        <w:tc>
          <w:tcPr>
            <w:tcW w:w="8906" w:type="dxa"/>
            <w:gridSpan w:val="4"/>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0DD675E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A. 上报项目</w:t>
            </w:r>
          </w:p>
          <w:p w14:paraId="65CB6C2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（每个项目均包含：数据标准化采集、数据治理、上报开发、接口对接、质量反馈、统一管理等服务）</w:t>
            </w:r>
          </w:p>
        </w:tc>
      </w:tr>
      <w:tr w14:paraId="2472E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3" w:hRule="atLeast"/>
        </w:trPr>
        <w:tc>
          <w:tcPr>
            <w:tcW w:w="701"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7A6DD69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序号</w:t>
            </w:r>
          </w:p>
        </w:tc>
        <w:tc>
          <w:tcPr>
            <w:tcW w:w="1450"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4951CCD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上报项目</w:t>
            </w:r>
          </w:p>
        </w:tc>
        <w:tc>
          <w:tcPr>
            <w:tcW w:w="6755"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622B64D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服务要求</w:t>
            </w:r>
          </w:p>
        </w:tc>
      </w:tr>
      <w:tr w14:paraId="66D08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701"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6AF026D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w:t>
            </w:r>
          </w:p>
        </w:tc>
        <w:tc>
          <w:tcPr>
            <w:tcW w:w="1450"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6F01CCF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省全民健康</w:t>
            </w:r>
          </w:p>
          <w:p w14:paraId="36CE733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信息平台</w:t>
            </w:r>
          </w:p>
        </w:tc>
        <w:tc>
          <w:tcPr>
            <w:tcW w:w="6755"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59FDD20A">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依据《江苏省健康信息平台共享数据集和编码标准（2023版）V1.4》文件要求，维护和管理43张数据表的上传工作，涵盖病案、HIS、EMR、LIS、PACS数据，包含数据的采集、转换、传输、控制、分析和监管。具体的业务表清单如下：</w:t>
            </w:r>
          </w:p>
          <w:p w14:paraId="5EC16AC2">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1"/>
                <w:szCs w:val="21"/>
                <w:u w:val="none"/>
                <w:lang w:val="en-US" w:eastAsia="zh-CN" w:bidi="ar"/>
              </w:rPr>
              <w:t>患者基本信息数据表结构、门诊/急诊挂号数据表结构、门诊/急诊就诊记录表结构、急诊留观-观察病历表结构、急诊留观-观察病程记录表结构、急诊留观-出观察室记录表结构、门急诊/观察室有创操作记录表结构、门诊/急诊/住院西药处方表结构（主表）、门诊/急诊/住院西药处方表结构（从表）、门诊/急诊/住院中药处方表结构（主表）、门诊/急诊/住院中药处方表结构（从表）、患者入院记录表结构、住院病人医嘱记录表结构、住院患者病程记录表结构、患者出院记录（小结）/死亡记录表结构、手术/操作记录表结构、西医病案首页表结构、检验申请记录表结构、检验报告记录表结构（主表）、检验结果明细表结构（从表）、检查信息表结构、检查申请记录表结构、检查报告记录表结构、治疗处置记录表结构、患者输血申请表结构、患者输血记录表结构、医疗高值耗材使用记录、门诊/急诊/住院费用表结构（主表）、门诊/急诊/住院费用表结构（从表）、药品入库信息记录表、药品出库信息记录表、耗材入库信息记录表、耗材出库信息记录表、入院出院患者统计数据表结构、门诊/住院收费统计数据表结构、门诊工作量统计数据表结构、住院工作量统计数据表结构、患者入院记录_天表结构、患者出院记录（小结）/死亡记录_天表结构、出院患者感染预警信息表结构、检查报告指标信息表结构、住院病人体温腹泻次数表结构、住院患者侵入性操作记录表。</w:t>
            </w:r>
          </w:p>
        </w:tc>
      </w:tr>
      <w:tr w14:paraId="7DAAE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2" w:hRule="atLeast"/>
        </w:trPr>
        <w:tc>
          <w:tcPr>
            <w:tcW w:w="701"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38B068F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1450"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760533D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医疗机构门（急）诊诊疗信息页及健康体检数据上传</w:t>
            </w:r>
          </w:p>
        </w:tc>
        <w:tc>
          <w:tcPr>
            <w:tcW w:w="6755"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43FD240C">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根据《关于做好医疗机构门诊诊疗信息页及健康体检数据上传工作的通知》的要求，向省全民健康信息平台上传《门（急）诊诊疗信息页表结构》和《健康体检报告表结构》。</w:t>
            </w:r>
          </w:p>
        </w:tc>
      </w:tr>
      <w:tr w14:paraId="1DBC5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 w:hRule="atLeast"/>
        </w:trPr>
        <w:tc>
          <w:tcPr>
            <w:tcW w:w="701"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13AE40D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w:t>
            </w:r>
          </w:p>
        </w:tc>
        <w:tc>
          <w:tcPr>
            <w:tcW w:w="1450"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22BEC8C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合理诊疗智慧监管数据上传</w:t>
            </w:r>
          </w:p>
        </w:tc>
        <w:tc>
          <w:tcPr>
            <w:tcW w:w="6755"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53F1CEAC">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根据《关于推进合理诊疗智慧监管工作的通知》（苏卫规划</w:t>
            </w:r>
            <w:r>
              <w:rPr>
                <w:rFonts w:ascii="宋体" w:hAnsi="宋体" w:eastAsia="宋体" w:cs="宋体"/>
                <w:sz w:val="24"/>
                <w:szCs w:val="24"/>
              </w:rPr>
              <w:t>〔</w:t>
            </w:r>
            <w:r>
              <w:rPr>
                <w:rFonts w:hint="eastAsia" w:ascii="仿宋" w:hAnsi="仿宋" w:eastAsia="仿宋" w:cs="仿宋"/>
                <w:i w:val="0"/>
                <w:iCs w:val="0"/>
                <w:color w:val="000000"/>
                <w:kern w:val="0"/>
                <w:sz w:val="21"/>
                <w:szCs w:val="21"/>
                <w:u w:val="none"/>
                <w:lang w:val="en-US" w:eastAsia="zh-CN" w:bidi="ar"/>
              </w:rPr>
              <w:t>2025</w:t>
            </w:r>
            <w:r>
              <w:rPr>
                <w:rFonts w:ascii="宋体" w:hAnsi="宋体" w:eastAsia="宋体" w:cs="宋体"/>
                <w:sz w:val="24"/>
                <w:szCs w:val="24"/>
              </w:rPr>
              <w:t>〕</w:t>
            </w:r>
            <w:r>
              <w:rPr>
                <w:rFonts w:hint="eastAsia" w:ascii="宋体" w:hAnsi="宋体" w:cs="宋体"/>
                <w:sz w:val="24"/>
                <w:szCs w:val="24"/>
                <w:lang w:val="en-US" w:eastAsia="zh-CN"/>
              </w:rPr>
              <w:t>44</w:t>
            </w:r>
            <w:r>
              <w:rPr>
                <w:rFonts w:hint="eastAsia" w:ascii="仿宋" w:hAnsi="仿宋" w:eastAsia="仿宋" w:cs="仿宋"/>
                <w:i w:val="0"/>
                <w:iCs w:val="0"/>
                <w:color w:val="000000"/>
                <w:kern w:val="0"/>
                <w:sz w:val="21"/>
                <w:szCs w:val="21"/>
                <w:u w:val="none"/>
                <w:lang w:val="en-US" w:eastAsia="zh-CN" w:bidi="ar"/>
              </w:rPr>
              <w:t>号）的要求，为进一步规范诊疗行为，构建“全覆盖、全链条、智慧化”监管体系，将基于省全民健康信息平台建设合理诊疗智慧监管子系统，要做好向全民健康信息平台上传《合理诊疗智慧监管数据上传表结构》及《合理诊疗智慧监管预警处理结果表结构》，内容涉及治疗类、检验检查类、药品使用类、耗材使用类、收费类、执业类等监管指标，分为核心指标和重点指标两级。</w:t>
            </w:r>
          </w:p>
        </w:tc>
      </w:tr>
      <w:tr w14:paraId="63FD4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2" w:hRule="atLeast"/>
        </w:trPr>
        <w:tc>
          <w:tcPr>
            <w:tcW w:w="701"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50769BB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w:t>
            </w:r>
          </w:p>
        </w:tc>
        <w:tc>
          <w:tcPr>
            <w:tcW w:w="1450"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73A19A0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全国抗菌药物临床应用监测网数据上报</w:t>
            </w:r>
          </w:p>
        </w:tc>
        <w:tc>
          <w:tcPr>
            <w:tcW w:w="6755"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18E28C6C">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根据国家卫健委医院管理研究所《全国抗菌药物临床应用监测网技术方案（6.0版）》的文件要求，为进一步加强抗菌药物临床应用管理，提升细菌真菌感染诊治能力与合理化用药水平，向全国抗菌药物临床应用监测网上传门急诊处方记录、住院患者信息、住院诊断记录、住院医嘱记录、检验结果、微生物检验结果、检查结果、手术记录、生命体征记录等数据。</w:t>
            </w:r>
          </w:p>
        </w:tc>
      </w:tr>
      <w:tr w14:paraId="50284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 w:hRule="atLeast"/>
        </w:trPr>
        <w:tc>
          <w:tcPr>
            <w:tcW w:w="701"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42E130C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w:t>
            </w:r>
          </w:p>
        </w:tc>
        <w:tc>
          <w:tcPr>
            <w:tcW w:w="1450"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1B72DDF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全国抗肿瘤药物临床应用监测</w:t>
            </w:r>
          </w:p>
        </w:tc>
        <w:tc>
          <w:tcPr>
            <w:tcW w:w="6755"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17A61F79">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根据国家卫健委《关于开展全国抗肿瘤药物临床应用监测工作的通知》，为进一步加强肿瘤规范化诊疗管理，为国家三级公立医院绩效考核工作提供数据支撑，需上传门诊、住院、费用、药品、检查、检验、手术等各类表单合计29个。</w:t>
            </w:r>
          </w:p>
        </w:tc>
      </w:tr>
      <w:tr w14:paraId="119D3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 w:hRule="atLeast"/>
        </w:trPr>
        <w:tc>
          <w:tcPr>
            <w:tcW w:w="701"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341428E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w:t>
            </w:r>
          </w:p>
        </w:tc>
        <w:tc>
          <w:tcPr>
            <w:tcW w:w="1450"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527B9CC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DRGs</w:t>
            </w:r>
          </w:p>
          <w:p w14:paraId="2FDC8E7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数据上报</w:t>
            </w:r>
          </w:p>
        </w:tc>
        <w:tc>
          <w:tcPr>
            <w:tcW w:w="6755"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3733E2D0">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依据《关于上传C-DRG标准化数据的函》文件要求，每月定期将已标准化的病案数据上传至C-DRG综合管理平台，用于与国家卫生发展研究中心的收付费综合管理平台对接，实现病案分组，按C-DRG规范向医疗机构及医保结算系统提供权重、费率等指标数据。具体的业务表清单如下：</w:t>
            </w:r>
          </w:p>
          <w:p w14:paraId="51757642">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DRGS数据、病案信息、病人服务明细（含病案信息查询、病案信息作废、分组结果查询接口）。</w:t>
            </w:r>
          </w:p>
        </w:tc>
      </w:tr>
      <w:tr w14:paraId="10F77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3" w:hRule="atLeast"/>
        </w:trPr>
        <w:tc>
          <w:tcPr>
            <w:tcW w:w="701"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2E1B70F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（7）</w:t>
            </w:r>
          </w:p>
        </w:tc>
        <w:tc>
          <w:tcPr>
            <w:tcW w:w="1450"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05B521C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国家卫健委</w:t>
            </w:r>
          </w:p>
          <w:p w14:paraId="5C465C2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处方抽查</w:t>
            </w:r>
          </w:p>
        </w:tc>
        <w:tc>
          <w:tcPr>
            <w:tcW w:w="6755"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12DDF932">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需依据《关于开展2024年医疗机构处方差抽查工作的通知》，处方抽查范围每年为固定时间段，门、急诊全部西药和中成药处方（不含中药饮片和退药处方）相关信息。具体的业务表清单如下：</w:t>
            </w:r>
          </w:p>
          <w:p w14:paraId="65623504">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处方信息报表、门急诊处方数及就诊人数报表。</w:t>
            </w:r>
          </w:p>
        </w:tc>
      </w:tr>
      <w:tr w14:paraId="2A496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3" w:hRule="atLeast"/>
        </w:trPr>
        <w:tc>
          <w:tcPr>
            <w:tcW w:w="701"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5D4A543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strike w:val="0"/>
                <w:dstrike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（8）</w:t>
            </w:r>
          </w:p>
        </w:tc>
        <w:tc>
          <w:tcPr>
            <w:tcW w:w="1450"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48100E0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strike w:val="0"/>
                <w:dstrike w:val="0"/>
                <w:color w:val="000000"/>
                <w:kern w:val="0"/>
                <w:sz w:val="21"/>
                <w:szCs w:val="21"/>
                <w:u w:val="none"/>
                <w:lang w:val="en-US" w:eastAsia="zh-CN" w:bidi="ar"/>
              </w:rPr>
            </w:pPr>
            <w:r>
              <w:rPr>
                <w:rFonts w:hint="eastAsia" w:ascii="仿宋" w:hAnsi="仿宋" w:eastAsia="仿宋" w:cs="仿宋"/>
                <w:i w:val="0"/>
                <w:iCs w:val="0"/>
                <w:strike w:val="0"/>
                <w:dstrike w:val="0"/>
                <w:color w:val="000000"/>
                <w:kern w:val="0"/>
                <w:sz w:val="21"/>
                <w:szCs w:val="21"/>
                <w:u w:val="none"/>
                <w:lang w:val="en-US" w:eastAsia="zh-CN" w:bidi="ar"/>
              </w:rPr>
              <w:t>国家临床路径</w:t>
            </w:r>
          </w:p>
          <w:p w14:paraId="262D02B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strike w:val="0"/>
                <w:dstrike w:val="0"/>
                <w:color w:val="000000"/>
                <w:kern w:val="0"/>
                <w:sz w:val="21"/>
                <w:szCs w:val="21"/>
                <w:u w:val="none"/>
                <w:lang w:val="en-US" w:eastAsia="zh-CN" w:bidi="ar"/>
              </w:rPr>
            </w:pPr>
            <w:r>
              <w:rPr>
                <w:rFonts w:hint="eastAsia" w:ascii="仿宋" w:hAnsi="仿宋" w:eastAsia="仿宋" w:cs="仿宋"/>
                <w:i w:val="0"/>
                <w:iCs w:val="0"/>
                <w:strike w:val="0"/>
                <w:dstrike w:val="0"/>
                <w:color w:val="000000"/>
                <w:kern w:val="0"/>
                <w:sz w:val="21"/>
                <w:szCs w:val="21"/>
                <w:u w:val="none"/>
                <w:lang w:val="en-US" w:eastAsia="zh-CN" w:bidi="ar"/>
              </w:rPr>
              <w:t>数据上报</w:t>
            </w:r>
          </w:p>
        </w:tc>
        <w:tc>
          <w:tcPr>
            <w:tcW w:w="6755"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0583A646">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strike w:val="0"/>
                <w:dstrike w:val="0"/>
                <w:color w:val="000000"/>
                <w:kern w:val="0"/>
                <w:sz w:val="21"/>
                <w:szCs w:val="21"/>
                <w:u w:val="none"/>
                <w:lang w:val="en-US" w:eastAsia="zh-CN" w:bidi="ar"/>
              </w:rPr>
            </w:pPr>
            <w:r>
              <w:rPr>
                <w:rFonts w:hint="eastAsia" w:ascii="仿宋" w:hAnsi="仿宋" w:eastAsia="仿宋" w:cs="仿宋"/>
                <w:i w:val="0"/>
                <w:iCs w:val="0"/>
                <w:strike w:val="0"/>
                <w:dstrike w:val="0"/>
                <w:color w:val="000000"/>
                <w:kern w:val="0"/>
                <w:sz w:val="21"/>
                <w:szCs w:val="21"/>
                <w:u w:val="none"/>
                <w:lang w:val="en-US" w:eastAsia="zh-CN" w:bidi="ar"/>
              </w:rPr>
              <w:t>需依据《国家卫健委发布的临床路径目录》要求每季度上传相关临床路径数据，包含数据的采集、校验、上传、监控。</w:t>
            </w:r>
          </w:p>
        </w:tc>
      </w:tr>
      <w:tr w14:paraId="1DAFA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3" w:hRule="atLeast"/>
        </w:trPr>
        <w:tc>
          <w:tcPr>
            <w:tcW w:w="701"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7F460D5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sz w:val="21"/>
                <w:szCs w:val="21"/>
                <w:u w:val="none"/>
                <w:lang w:val="en-US" w:eastAsia="zh-CN"/>
              </w:rPr>
              <w:t>（9）</w:t>
            </w:r>
          </w:p>
        </w:tc>
        <w:tc>
          <w:tcPr>
            <w:tcW w:w="1450"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7BC3ADB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省互联网医院</w:t>
            </w:r>
          </w:p>
          <w:p w14:paraId="247D6F2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监管平台</w:t>
            </w:r>
          </w:p>
          <w:p w14:paraId="2C6517F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数据上报</w:t>
            </w:r>
          </w:p>
        </w:tc>
        <w:tc>
          <w:tcPr>
            <w:tcW w:w="6755"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4E9CD4ED">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依据《江苏省互联网医疗服务监管系统接入规范V 1.50》文件要求，医疗机构需要将互联网诊疗执业过程中产生的业务数据实时上报给监管平台，包含数据的采集、校验、上传、监控。具体的业务表清单如下：</w:t>
            </w:r>
          </w:p>
          <w:p w14:paraId="6BC8C047">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挂号、退号、就诊记录、西药处方开立、中药处方开立、处方变更、处方撤销、处方审核、处方流转、药品配送、收费/退费、咨询记录、服务评价、投诉举报。</w:t>
            </w:r>
          </w:p>
        </w:tc>
      </w:tr>
      <w:tr w14:paraId="659A1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3" w:hRule="atLeast"/>
        </w:trPr>
        <w:tc>
          <w:tcPr>
            <w:tcW w:w="701"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7FE20A0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sz w:val="21"/>
                <w:szCs w:val="21"/>
                <w:u w:val="none"/>
                <w:lang w:val="en-US" w:eastAsia="zh-CN"/>
              </w:rPr>
              <w:t>（10）</w:t>
            </w:r>
          </w:p>
        </w:tc>
        <w:tc>
          <w:tcPr>
            <w:tcW w:w="1450"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71A21E1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NCPCS</w:t>
            </w:r>
          </w:p>
          <w:p w14:paraId="0E8F1A5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国家儿童肿瘤</w:t>
            </w:r>
          </w:p>
          <w:p w14:paraId="5078EBC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监测数据上报</w:t>
            </w:r>
          </w:p>
        </w:tc>
        <w:tc>
          <w:tcPr>
            <w:tcW w:w="6755"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70C2E7EE">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依据《关于切实做好儿童血液病、恶性肿瘤诊疗信息登记管理工作的通知》苏卫办医政</w:t>
            </w:r>
            <w:r>
              <w:rPr>
                <w:rFonts w:ascii="宋体" w:hAnsi="宋体" w:eastAsia="宋体" w:cs="宋体"/>
                <w:sz w:val="24"/>
                <w:szCs w:val="24"/>
              </w:rPr>
              <w:t>〔</w:t>
            </w:r>
            <w:r>
              <w:rPr>
                <w:rFonts w:hint="eastAsia" w:ascii="仿宋" w:hAnsi="仿宋" w:eastAsia="仿宋" w:cs="仿宋"/>
                <w:i w:val="0"/>
                <w:iCs w:val="0"/>
                <w:color w:val="000000"/>
                <w:kern w:val="0"/>
                <w:sz w:val="21"/>
                <w:szCs w:val="21"/>
                <w:u w:val="none"/>
                <w:lang w:val="en-US" w:eastAsia="zh-CN" w:bidi="ar"/>
              </w:rPr>
              <w:t>2022</w:t>
            </w:r>
            <w:r>
              <w:rPr>
                <w:rFonts w:ascii="宋体" w:hAnsi="宋体" w:eastAsia="宋体" w:cs="宋体"/>
                <w:sz w:val="24"/>
                <w:szCs w:val="24"/>
              </w:rPr>
              <w:t>〕</w:t>
            </w:r>
            <w:r>
              <w:rPr>
                <w:rFonts w:hint="eastAsia" w:ascii="仿宋" w:hAnsi="仿宋" w:eastAsia="仿宋" w:cs="仿宋"/>
                <w:i w:val="0"/>
                <w:iCs w:val="0"/>
                <w:color w:val="000000"/>
                <w:kern w:val="0"/>
                <w:sz w:val="21"/>
                <w:szCs w:val="21"/>
                <w:u w:val="none"/>
                <w:lang w:val="en-US" w:eastAsia="zh-CN" w:bidi="ar"/>
              </w:rPr>
              <w:t>32号、《【NCPCS】webservice定义书2.0.3》文件要求，维护和管理29张数据表的上传工作，涵盖HIS、EMR、PACS、LIS、病案系统数据，包含数据的采集、校验、上传、监控。具体的业务表清单如下：</w:t>
            </w:r>
          </w:p>
          <w:p w14:paraId="13A80EE0">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病案首页基本信息、入出院信息、出院诊断信息、转科记录、入院记录、24小时入出院记录、再入院记录、首次病程记录、病程记录、出院记录、死亡记录、影像学检查、实验室检验记录、实验室检验详细记录、治疗信息_手术记录、麻醉记录、麻醉事件、病理记录、治疗信息_化疗记录、治疗信息_化疗用药记录、治疗信息_放疗记录、治疗信息_放疗用药记录、治疗信息_靶向治疗用药记录、治疗信息_生物治疗用药记录、治疗信息_免疫治疗用药记录、住院医嘱_药品类、住院费用、住院费用明细、骨髓报告。</w:t>
            </w:r>
          </w:p>
        </w:tc>
      </w:tr>
      <w:tr w14:paraId="63446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3" w:hRule="atLeast"/>
        </w:trPr>
        <w:tc>
          <w:tcPr>
            <w:tcW w:w="701"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3F178C4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sz w:val="21"/>
                <w:szCs w:val="21"/>
                <w:u w:val="none"/>
                <w:lang w:val="en-US" w:eastAsia="zh-CN"/>
              </w:rPr>
              <w:t>（11）</w:t>
            </w:r>
          </w:p>
        </w:tc>
        <w:tc>
          <w:tcPr>
            <w:tcW w:w="1450"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2698C53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省医保</w:t>
            </w:r>
          </w:p>
          <w:p w14:paraId="4A0FC01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阳光采购</w:t>
            </w:r>
          </w:p>
          <w:p w14:paraId="7D30522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督察上报</w:t>
            </w:r>
          </w:p>
          <w:p w14:paraId="05C6883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（药品）</w:t>
            </w:r>
          </w:p>
        </w:tc>
        <w:tc>
          <w:tcPr>
            <w:tcW w:w="6755"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5150D377">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依据《江苏省药品(医用耗材)阳光采购和综合监管平台采购业务对接实施方案》文件要求，阳光采购平台开放药品平台日常业务相关的 RESTFUL API 接口，医疗机构必须接入获取基础信息、添加订单、添加订单明细、提交订单接口。详细接口列表需求如下：</w:t>
            </w:r>
          </w:p>
          <w:p w14:paraId="03B043AD">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连通性测试、获取接口调用凭据、获取商品信息、获取企业、新建采购订单、添加采购订单明细、提交采购订单、获取订单明细信息、获取配送信息、收货、退货、获取退货信息、获取发票信息、获取随货清单信息。</w:t>
            </w:r>
          </w:p>
        </w:tc>
      </w:tr>
      <w:tr w14:paraId="401FD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3" w:hRule="atLeast"/>
        </w:trPr>
        <w:tc>
          <w:tcPr>
            <w:tcW w:w="701"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7EC0FB4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（12）</w:t>
            </w:r>
          </w:p>
        </w:tc>
        <w:tc>
          <w:tcPr>
            <w:tcW w:w="1450"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14CC9D4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省医保</w:t>
            </w:r>
          </w:p>
          <w:p w14:paraId="38CF796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阳光采购</w:t>
            </w:r>
          </w:p>
          <w:p w14:paraId="6C1CFB1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督察上报</w:t>
            </w:r>
          </w:p>
          <w:p w14:paraId="5D689FD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（耗材）</w:t>
            </w:r>
          </w:p>
        </w:tc>
        <w:tc>
          <w:tcPr>
            <w:tcW w:w="6755"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4742487B">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依据《江苏省药品(医用耗材)阳光采购和综合监管平台采购业务对接实施方案》文件要求，阳光采购平台开放耗材平台日常业务相关的 RESTFUL API 接口，医疗机构必须接入获取基础信息、添加订单、添加订单明细、提交订单接口。详细接口列表需求如下：</w:t>
            </w:r>
          </w:p>
          <w:p w14:paraId="41AB2025">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连通性测试、获取接口调用凭据、获取采购目录、获取规格型号数据、新建采购订单、添加采购订单明细、提交采购订单、获取订单明细信息、获取配送信息、入库、退货、获取退货信息</w:t>
            </w:r>
          </w:p>
        </w:tc>
      </w:tr>
      <w:tr w14:paraId="58F98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01"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3808C14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（13）</w:t>
            </w:r>
          </w:p>
        </w:tc>
        <w:tc>
          <w:tcPr>
            <w:tcW w:w="1450"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103B015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省网采率</w:t>
            </w:r>
          </w:p>
          <w:p w14:paraId="20468BA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数据上报</w:t>
            </w:r>
          </w:p>
        </w:tc>
        <w:tc>
          <w:tcPr>
            <w:tcW w:w="6755"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1E0A268D">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依据《江苏省“网采率”接口方案V2.2》文件要求，维护和管理7张数据表的上传工作，涵盖获取医疗机构调用凭证、医院库房药品每日入库明细数据、医院库房药品每日出库明细数据、医院库房耗材每日入库明细数据、医院库房耗材每日出库明细数据、医院库房药品每日退货、医院库房耗材每日退货数据，包含数据的采集、校验、上传、监控。</w:t>
            </w:r>
          </w:p>
        </w:tc>
      </w:tr>
      <w:tr w14:paraId="5AD37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3" w:hRule="atLeast"/>
        </w:trPr>
        <w:tc>
          <w:tcPr>
            <w:tcW w:w="701"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5ED8D07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（14）</w:t>
            </w:r>
          </w:p>
        </w:tc>
        <w:tc>
          <w:tcPr>
            <w:tcW w:w="1450"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071E08F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市卫健委</w:t>
            </w:r>
          </w:p>
          <w:p w14:paraId="75DEF66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体检数据上报</w:t>
            </w:r>
          </w:p>
        </w:tc>
        <w:tc>
          <w:tcPr>
            <w:tcW w:w="6755"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54F924B4">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依据《关于做好数据治理及系统对接工作的通知》（镇卫信息函[20]号）、《镇江市成人健康体检表结构》文件要求，维护和管理体检数据的上传工作，包含数据的采集、校验、上传、监控，确保数据上传及时、准确。</w:t>
            </w:r>
          </w:p>
        </w:tc>
      </w:tr>
      <w:tr w14:paraId="05773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3" w:hRule="atLeast"/>
        </w:trPr>
        <w:tc>
          <w:tcPr>
            <w:tcW w:w="701"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1556AEB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（15）</w:t>
            </w:r>
          </w:p>
        </w:tc>
        <w:tc>
          <w:tcPr>
            <w:tcW w:w="1450"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3E0C7C6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市传染病</w:t>
            </w:r>
          </w:p>
          <w:p w14:paraId="4826422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哨点医院</w:t>
            </w:r>
          </w:p>
          <w:p w14:paraId="2743AD6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数据上报</w:t>
            </w:r>
          </w:p>
        </w:tc>
        <w:tc>
          <w:tcPr>
            <w:tcW w:w="6755"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719849B2">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依据《 关于做好镇江市哨点医院传染病症状监测系统对接工作的通知》(镇卫信息函〔2023〕7号)、《数据对接ESB服务结构体V6-哨点医院》文件要求，维护和管理6张数据表的上传工作，涵盖EMR/病案系统、HIS数据，包含数据的采集、校验、上传、监控。具体的业务清单如下：</w:t>
            </w:r>
          </w:p>
          <w:p w14:paraId="68DFDF53">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个人基本信息、门(急)诊病历、药品处方、入院记录、住院药品医嘱、每日推送数据情况。</w:t>
            </w:r>
          </w:p>
        </w:tc>
      </w:tr>
      <w:tr w14:paraId="46B0D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3" w:hRule="atLeast"/>
        </w:trPr>
        <w:tc>
          <w:tcPr>
            <w:tcW w:w="701"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146D0D7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（16）</w:t>
            </w:r>
          </w:p>
        </w:tc>
        <w:tc>
          <w:tcPr>
            <w:tcW w:w="1450"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742E5AE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MMC标准化</w:t>
            </w:r>
          </w:p>
          <w:p w14:paraId="1CAB9E1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代谢性疾病</w:t>
            </w:r>
          </w:p>
          <w:p w14:paraId="772F592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管理中心</w:t>
            </w:r>
          </w:p>
          <w:p w14:paraId="6392F87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数据对接</w:t>
            </w:r>
          </w:p>
        </w:tc>
        <w:tc>
          <w:tcPr>
            <w:tcW w:w="6755"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2A5EC356">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依据《MMC数据对接方案》要求维护和管理MMC与医院系统之间的数据对接，从而将患者在医院的检测数据自动导入MMC患者病历中，为医生诊疗以及患者长期管理提供全面的数据支持。对接项目为检验、检查数据，检验部分包括201项检验数据，其中88项为质控相关项目，需要填写具体的指标名称、指标代码、指标单位、指标参考范围等信息，其余项目只需要填写指标单位、指标参考范围即可。</w:t>
            </w:r>
          </w:p>
        </w:tc>
      </w:tr>
      <w:tr w14:paraId="471AA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3" w:hRule="atLeast"/>
        </w:trPr>
        <w:tc>
          <w:tcPr>
            <w:tcW w:w="701"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6436BE8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iCs/>
                <w:color w:val="000000"/>
                <w:kern w:val="0"/>
                <w:sz w:val="21"/>
                <w:szCs w:val="21"/>
                <w:u w:val="single"/>
                <w:lang w:val="en-US" w:eastAsia="zh-CN" w:bidi="ar"/>
              </w:rPr>
            </w:pPr>
            <w:r>
              <w:rPr>
                <w:rFonts w:hint="eastAsia" w:ascii="仿宋" w:hAnsi="仿宋" w:eastAsia="仿宋" w:cs="仿宋"/>
                <w:i/>
                <w:iCs/>
                <w:color w:val="000000"/>
                <w:kern w:val="0"/>
                <w:sz w:val="21"/>
                <w:szCs w:val="21"/>
                <w:u w:val="single"/>
                <w:lang w:val="en-US" w:eastAsia="zh-CN" w:bidi="ar"/>
              </w:rPr>
              <w:t>（17）</w:t>
            </w:r>
          </w:p>
        </w:tc>
        <w:tc>
          <w:tcPr>
            <w:tcW w:w="1450"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7D06B82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iCs/>
                <w:color w:val="000000"/>
                <w:kern w:val="0"/>
                <w:sz w:val="21"/>
                <w:szCs w:val="21"/>
                <w:u w:val="single"/>
                <w:lang w:val="en-US" w:eastAsia="zh-CN" w:bidi="ar"/>
              </w:rPr>
            </w:pPr>
            <w:r>
              <w:rPr>
                <w:rFonts w:hint="eastAsia" w:ascii="仿宋" w:hAnsi="仿宋" w:eastAsia="仿宋" w:cs="仿宋"/>
                <w:i/>
                <w:iCs/>
                <w:color w:val="000000"/>
                <w:kern w:val="0"/>
                <w:sz w:val="21"/>
                <w:szCs w:val="21"/>
                <w:u w:val="single"/>
                <w:lang w:val="en-US" w:eastAsia="zh-CN" w:bidi="ar"/>
              </w:rPr>
              <w:t>服务期的内</w:t>
            </w:r>
            <w:r>
              <w:rPr>
                <w:rFonts w:hint="eastAsia" w:ascii="仿宋" w:hAnsi="仿宋" w:eastAsia="仿宋" w:cs="仿宋"/>
                <w:b/>
                <w:bCs/>
                <w:i/>
                <w:iCs/>
                <w:color w:val="000000"/>
                <w:kern w:val="0"/>
                <w:sz w:val="21"/>
                <w:szCs w:val="21"/>
                <w:u w:val="single"/>
                <w:lang w:val="en-US" w:eastAsia="zh-CN" w:bidi="ar"/>
              </w:rPr>
              <w:t>新增或调整的</w:t>
            </w:r>
            <w:r>
              <w:rPr>
                <w:rFonts w:hint="eastAsia" w:ascii="仿宋" w:hAnsi="仿宋" w:eastAsia="仿宋" w:cs="仿宋"/>
                <w:i/>
                <w:iCs/>
                <w:color w:val="000000"/>
                <w:kern w:val="0"/>
                <w:sz w:val="21"/>
                <w:szCs w:val="21"/>
                <w:u w:val="single"/>
                <w:lang w:val="en-US" w:eastAsia="zh-CN" w:bidi="ar"/>
              </w:rPr>
              <w:t>其他数据上报项目</w:t>
            </w:r>
          </w:p>
        </w:tc>
        <w:tc>
          <w:tcPr>
            <w:tcW w:w="6755"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08AC7D68">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eastAsia" w:ascii="仿宋" w:hAnsi="仿宋" w:eastAsia="仿宋" w:cs="仿宋"/>
                <w:i/>
                <w:iCs/>
                <w:color w:val="000000"/>
                <w:kern w:val="0"/>
                <w:sz w:val="21"/>
                <w:szCs w:val="21"/>
                <w:u w:val="single"/>
                <w:lang w:val="en-US" w:eastAsia="zh-CN" w:bidi="ar"/>
              </w:rPr>
            </w:pPr>
            <w:r>
              <w:rPr>
                <w:rFonts w:hint="eastAsia" w:ascii="仿宋" w:hAnsi="仿宋" w:eastAsia="仿宋" w:cs="仿宋"/>
                <w:i/>
                <w:iCs/>
                <w:color w:val="000000"/>
                <w:kern w:val="0"/>
                <w:sz w:val="21"/>
                <w:szCs w:val="21"/>
                <w:u w:val="single"/>
                <w:lang w:val="en-US" w:eastAsia="zh-CN" w:bidi="ar"/>
              </w:rPr>
              <w:t>在服务期内，如有国家、省、市各卫生行政条口新增或调整的数据上报要求，需完成相关的数据采集、上报开发、质量反馈、统一管理、上传设定等服务。</w:t>
            </w:r>
          </w:p>
        </w:tc>
      </w:tr>
      <w:tr w14:paraId="5D3E5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3" w:hRule="atLeast"/>
        </w:trPr>
        <w:tc>
          <w:tcPr>
            <w:tcW w:w="8906" w:type="dxa"/>
            <w:gridSpan w:val="4"/>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5B339F4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lang w:val="en-US" w:eastAsia="zh-CN"/>
              </w:rPr>
            </w:pPr>
            <w:r>
              <w:rPr>
                <w:rFonts w:hint="eastAsia" w:ascii="仿宋" w:hAnsi="仿宋" w:eastAsia="仿宋" w:cs="仿宋"/>
                <w:b/>
                <w:bCs/>
                <w:i w:val="0"/>
                <w:iCs w:val="0"/>
                <w:color w:val="000000"/>
                <w:kern w:val="0"/>
                <w:sz w:val="28"/>
                <w:szCs w:val="28"/>
                <w:u w:val="none"/>
                <w:lang w:val="en-US" w:eastAsia="zh-CN" w:bidi="ar"/>
              </w:rPr>
              <w:t>B. 上报支撑服务</w:t>
            </w:r>
          </w:p>
        </w:tc>
      </w:tr>
      <w:tr w14:paraId="0675C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4" w:hRule="atLeast"/>
        </w:trPr>
        <w:tc>
          <w:tcPr>
            <w:tcW w:w="701"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16AF5DE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序号</w:t>
            </w:r>
          </w:p>
        </w:tc>
        <w:tc>
          <w:tcPr>
            <w:tcW w:w="2311"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66D2F4A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服务项目</w:t>
            </w:r>
          </w:p>
        </w:tc>
        <w:tc>
          <w:tcPr>
            <w:tcW w:w="5894"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510F6DF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服务要求</w:t>
            </w:r>
          </w:p>
        </w:tc>
      </w:tr>
      <w:tr w14:paraId="7C85B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3" w:hRule="atLeast"/>
        </w:trPr>
        <w:tc>
          <w:tcPr>
            <w:tcW w:w="701"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292D360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2311"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01D9FEA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kern w:val="0"/>
                <w:sz w:val="21"/>
                <w:szCs w:val="21"/>
                <w:u w:val="none"/>
                <w:lang w:val="en-US" w:eastAsia="zh-Hans" w:bidi="ar"/>
              </w:rPr>
            </w:pPr>
            <w:r>
              <w:rPr>
                <w:rFonts w:hint="eastAsia" w:ascii="仿宋" w:hAnsi="仿宋" w:eastAsia="仿宋" w:cs="仿宋"/>
                <w:i w:val="0"/>
                <w:iCs w:val="0"/>
                <w:color w:val="000000"/>
                <w:kern w:val="0"/>
                <w:sz w:val="21"/>
                <w:szCs w:val="21"/>
                <w:u w:val="none"/>
                <w:lang w:val="en-US" w:eastAsia="zh-Hans" w:bidi="ar"/>
              </w:rPr>
              <w:t>业务系统数据同步</w:t>
            </w:r>
            <w:r>
              <w:rPr>
                <w:rFonts w:hint="eastAsia" w:ascii="仿宋" w:hAnsi="仿宋" w:eastAsia="仿宋" w:cs="仿宋"/>
                <w:i w:val="0"/>
                <w:iCs w:val="0"/>
                <w:color w:val="000000"/>
                <w:kern w:val="0"/>
                <w:sz w:val="21"/>
                <w:szCs w:val="21"/>
                <w:u w:val="none"/>
                <w:lang w:val="en-US" w:eastAsia="zh-CN" w:bidi="ar"/>
              </w:rPr>
              <w:t>、</w:t>
            </w:r>
            <w:r>
              <w:rPr>
                <w:rFonts w:hint="eastAsia" w:ascii="仿宋" w:hAnsi="仿宋" w:eastAsia="仿宋" w:cs="仿宋"/>
                <w:i w:val="0"/>
                <w:iCs w:val="0"/>
                <w:color w:val="000000"/>
                <w:kern w:val="0"/>
                <w:sz w:val="21"/>
                <w:szCs w:val="21"/>
                <w:u w:val="none"/>
                <w:lang w:val="en-US" w:eastAsia="zh-Hans" w:bidi="ar"/>
              </w:rPr>
              <w:t>视图脚本编写</w:t>
            </w:r>
            <w:r>
              <w:rPr>
                <w:rFonts w:hint="eastAsia" w:ascii="仿宋" w:hAnsi="仿宋" w:eastAsia="仿宋" w:cs="仿宋"/>
                <w:i w:val="0"/>
                <w:iCs w:val="0"/>
                <w:color w:val="000000"/>
                <w:kern w:val="0"/>
                <w:sz w:val="21"/>
                <w:szCs w:val="21"/>
                <w:u w:val="none"/>
                <w:lang w:val="en-US" w:eastAsia="zh-CN" w:bidi="ar"/>
              </w:rPr>
              <w:t>及修改服务</w:t>
            </w:r>
          </w:p>
        </w:tc>
        <w:tc>
          <w:tcPr>
            <w:tcW w:w="5894"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132AD22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Hans" w:bidi="ar"/>
              </w:rPr>
              <w:t>提供数据采集服务，根据上报内容进行业务系统数据同步及视图脚本编写</w:t>
            </w:r>
            <w:r>
              <w:rPr>
                <w:rFonts w:hint="eastAsia" w:ascii="仿宋" w:hAnsi="仿宋" w:eastAsia="仿宋" w:cs="仿宋"/>
                <w:i w:val="0"/>
                <w:iCs w:val="0"/>
                <w:color w:val="000000"/>
                <w:kern w:val="0"/>
                <w:sz w:val="21"/>
                <w:szCs w:val="21"/>
                <w:u w:val="none"/>
                <w:lang w:val="en-US" w:eastAsia="zh-CN" w:bidi="ar"/>
              </w:rPr>
              <w:t>。</w:t>
            </w:r>
          </w:p>
        </w:tc>
      </w:tr>
      <w:tr w14:paraId="7F16A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3" w:hRule="atLeast"/>
        </w:trPr>
        <w:tc>
          <w:tcPr>
            <w:tcW w:w="701"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28897DD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2311"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1925D2C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针对新增或调整的上报任务的及时支撑服务</w:t>
            </w:r>
          </w:p>
        </w:tc>
        <w:tc>
          <w:tcPr>
            <w:tcW w:w="5894"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7D46288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根据政策要求对现有或新增的上报进行政策解读，结合医院各信息系统数据字典的变更情况，实时调整数据上报平台的数据源、视图脚本、质控规则及映射方式，确保按照最新政策要求进行数据上报。</w:t>
            </w:r>
          </w:p>
        </w:tc>
      </w:tr>
      <w:tr w14:paraId="4D90A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3" w:hRule="atLeast"/>
        </w:trPr>
        <w:tc>
          <w:tcPr>
            <w:tcW w:w="701"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23FFF1E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w:t>
            </w:r>
          </w:p>
        </w:tc>
        <w:tc>
          <w:tcPr>
            <w:tcW w:w="2311"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4A0AA81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kern w:val="0"/>
                <w:sz w:val="21"/>
                <w:szCs w:val="21"/>
                <w:u w:val="none"/>
                <w:lang w:val="en-US" w:eastAsia="zh-Hans" w:bidi="ar"/>
              </w:rPr>
            </w:pPr>
            <w:r>
              <w:rPr>
                <w:rFonts w:hint="eastAsia" w:ascii="仿宋" w:hAnsi="仿宋" w:eastAsia="仿宋" w:cs="仿宋"/>
                <w:i w:val="0"/>
                <w:iCs w:val="0"/>
                <w:color w:val="000000"/>
                <w:kern w:val="0"/>
                <w:sz w:val="21"/>
                <w:szCs w:val="21"/>
                <w:u w:val="none"/>
                <w:lang w:val="en-US" w:eastAsia="zh-CN" w:bidi="ar"/>
              </w:rPr>
              <w:t>质量校验</w:t>
            </w:r>
          </w:p>
        </w:tc>
        <w:tc>
          <w:tcPr>
            <w:tcW w:w="5894"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42197D4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通过（工具+服务）的形式，协助医院进行数据质量的监管，针对基础质量校验，提供包含数据表质量、字典转码表情况等校验，针对专项数据上报质量校验，根据不同数据上报项维护相应上报校验规则，包含表与表之间的关联性、数据逻辑等内容，并向医院提出整改建议。</w:t>
            </w:r>
          </w:p>
        </w:tc>
      </w:tr>
      <w:tr w14:paraId="6C1F1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3" w:hRule="atLeast"/>
        </w:trPr>
        <w:tc>
          <w:tcPr>
            <w:tcW w:w="701"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6E8A967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w:t>
            </w:r>
          </w:p>
        </w:tc>
        <w:tc>
          <w:tcPr>
            <w:tcW w:w="2311"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709084F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kern w:val="0"/>
                <w:sz w:val="21"/>
                <w:szCs w:val="21"/>
                <w:u w:val="none"/>
                <w:lang w:val="en-US" w:eastAsia="zh-Hans" w:bidi="ar"/>
              </w:rPr>
            </w:pPr>
            <w:r>
              <w:rPr>
                <w:rFonts w:hint="eastAsia" w:ascii="仿宋" w:hAnsi="仿宋" w:eastAsia="仿宋" w:cs="仿宋"/>
                <w:i w:val="0"/>
                <w:iCs w:val="0"/>
                <w:color w:val="000000"/>
                <w:kern w:val="0"/>
                <w:sz w:val="21"/>
                <w:szCs w:val="21"/>
                <w:u w:val="none"/>
                <w:lang w:val="en-US" w:eastAsia="zh-CN" w:bidi="ar"/>
              </w:rPr>
              <w:t>数据上传</w:t>
            </w:r>
          </w:p>
        </w:tc>
        <w:tc>
          <w:tcPr>
            <w:tcW w:w="5894"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136E326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开启定时数据检查与上传，在进行数据上传过程中如发现数据源有问题需协助医院指导业务系统厂商进行问题数据整改。</w:t>
            </w:r>
          </w:p>
        </w:tc>
      </w:tr>
      <w:tr w14:paraId="62243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3" w:hRule="atLeast"/>
        </w:trPr>
        <w:tc>
          <w:tcPr>
            <w:tcW w:w="701"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47D1DB9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w:t>
            </w:r>
          </w:p>
        </w:tc>
        <w:tc>
          <w:tcPr>
            <w:tcW w:w="2311"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5FA0A1A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数据反馈</w:t>
            </w:r>
          </w:p>
        </w:tc>
        <w:tc>
          <w:tcPr>
            <w:tcW w:w="5894"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086D9B1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依据不同上报内容的既定频率，定期向院内各相关科室及负责人推送数据反馈信息，反馈信息包含数据上报完成情况以及在上报过程中出现的各类问题数据等内容。</w:t>
            </w:r>
          </w:p>
        </w:tc>
      </w:tr>
      <w:tr w14:paraId="180A5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3" w:hRule="atLeast"/>
        </w:trPr>
        <w:tc>
          <w:tcPr>
            <w:tcW w:w="701"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7EBA152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w:t>
            </w:r>
          </w:p>
        </w:tc>
        <w:tc>
          <w:tcPr>
            <w:tcW w:w="2311"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2F1FF44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问题数据排查</w:t>
            </w:r>
          </w:p>
        </w:tc>
        <w:tc>
          <w:tcPr>
            <w:tcW w:w="5894"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63489E7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当平台各环节质量出现问题时，供应商需依托分析工具与专业服务团队，为医院提供问题协助排查服务，结合数据反馈中记录的问题类型，生成针对性的排查清单，明确需要重点核查的数据字段、关联表单及业务环节，排查完成后，形成详细报告，并会附上针对性地改善计划。</w:t>
            </w:r>
          </w:p>
        </w:tc>
      </w:tr>
      <w:tr w14:paraId="42661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3" w:hRule="atLeast"/>
        </w:trPr>
        <w:tc>
          <w:tcPr>
            <w:tcW w:w="701"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294B65B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w:t>
            </w:r>
          </w:p>
        </w:tc>
        <w:tc>
          <w:tcPr>
            <w:tcW w:w="2311"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7DAA347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kern w:val="0"/>
                <w:sz w:val="21"/>
                <w:szCs w:val="21"/>
                <w:u w:val="none"/>
                <w:lang w:val="en-US" w:eastAsia="zh-Hans" w:bidi="ar"/>
              </w:rPr>
            </w:pPr>
            <w:r>
              <w:rPr>
                <w:rFonts w:hint="eastAsia" w:ascii="仿宋" w:hAnsi="仿宋" w:eastAsia="仿宋" w:cs="仿宋"/>
                <w:i w:val="0"/>
                <w:iCs w:val="0"/>
                <w:color w:val="000000"/>
                <w:kern w:val="0"/>
                <w:sz w:val="21"/>
                <w:szCs w:val="21"/>
                <w:u w:val="none"/>
                <w:lang w:val="en-US" w:eastAsia="zh-CN" w:bidi="ar"/>
              </w:rPr>
              <w:t>数据上报前置机/接口的迁移及管理服务</w:t>
            </w:r>
          </w:p>
        </w:tc>
        <w:tc>
          <w:tcPr>
            <w:tcW w:w="5894"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3B51E07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配合医院完成数据上报前置机的迁移上云工作；对历史的上报任务进行迁移，方便医院对所有上报任务进行统一管理；对数据上报前置机及相关服务器进行定期巡检、排障。</w:t>
            </w:r>
          </w:p>
        </w:tc>
      </w:tr>
      <w:tr w14:paraId="4119A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3" w:hRule="atLeast"/>
        </w:trPr>
        <w:tc>
          <w:tcPr>
            <w:tcW w:w="701"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43BA377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（8）</w:t>
            </w:r>
          </w:p>
        </w:tc>
        <w:tc>
          <w:tcPr>
            <w:tcW w:w="2311"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3D69D09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kern w:val="0"/>
                <w:sz w:val="21"/>
                <w:szCs w:val="21"/>
                <w:u w:val="none"/>
                <w:lang w:val="en-US" w:eastAsia="zh-Hans" w:bidi="ar"/>
              </w:rPr>
            </w:pPr>
            <w:r>
              <w:rPr>
                <w:rFonts w:hint="eastAsia" w:ascii="仿宋" w:hAnsi="仿宋" w:eastAsia="仿宋" w:cs="仿宋"/>
                <w:i w:val="0"/>
                <w:iCs w:val="0"/>
                <w:color w:val="000000"/>
                <w:kern w:val="0"/>
                <w:sz w:val="21"/>
                <w:szCs w:val="21"/>
                <w:u w:val="none"/>
                <w:lang w:val="en-US" w:eastAsia="zh-CN" w:bidi="ar"/>
              </w:rPr>
              <w:t>其他应急响应服务</w:t>
            </w:r>
          </w:p>
        </w:tc>
        <w:tc>
          <w:tcPr>
            <w:tcW w:w="5894"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78FFE93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在项目服务期内，项目中所有技术和服务发生任何非人为故障，需要协助医院进行系统恢复。在收到通知后2小时内响应，并在24小时内完成全部维修工作。</w:t>
            </w:r>
          </w:p>
        </w:tc>
      </w:tr>
    </w:tbl>
    <w:p w14:paraId="7481175E">
      <w:pPr>
        <w:pStyle w:val="2"/>
        <w:rPr>
          <w:rFonts w:hint="eastAsia"/>
          <w:lang w:val="en-US" w:eastAsia="zh-CN"/>
        </w:rPr>
      </w:pPr>
    </w:p>
    <w:p w14:paraId="1247E908">
      <w:pPr>
        <w:pStyle w:val="5"/>
        <w:ind w:left="0" w:leftChars="0" w:firstLine="0" w:firstLineChars="0"/>
        <w:rPr>
          <w:rFonts w:hint="eastAsia"/>
          <w:lang w:val="en-US" w:eastAsia="zh-CN"/>
        </w:rPr>
      </w:pPr>
    </w:p>
    <w:p w14:paraId="66540D3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五、商务和服务需求</w:t>
      </w:r>
    </w:p>
    <w:tbl>
      <w:tblPr>
        <w:tblStyle w:val="17"/>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100"/>
        <w:gridCol w:w="6586"/>
      </w:tblGrid>
      <w:tr w14:paraId="2303C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02" w:type="dxa"/>
            <w:noWrap w:val="0"/>
            <w:vAlign w:val="center"/>
          </w:tcPr>
          <w:p w14:paraId="75279E7C">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auto"/>
              <w:rPr>
                <w:rFonts w:hint="eastAsia" w:ascii="仿宋" w:hAnsi="仿宋" w:eastAsia="仿宋" w:cs="仿宋"/>
                <w:b/>
                <w:bCs/>
                <w:snapToGrid w:val="0"/>
                <w:kern w:val="0"/>
                <w:sz w:val="21"/>
                <w:szCs w:val="21"/>
                <w:lang w:val="zh-CN"/>
              </w:rPr>
            </w:pPr>
            <w:r>
              <w:rPr>
                <w:rFonts w:hint="eastAsia" w:ascii="仿宋" w:hAnsi="仿宋" w:eastAsia="仿宋" w:cs="仿宋"/>
                <w:b/>
                <w:bCs/>
                <w:snapToGrid w:val="0"/>
                <w:kern w:val="0"/>
                <w:sz w:val="21"/>
                <w:szCs w:val="21"/>
                <w:lang w:val="zh-CN"/>
              </w:rPr>
              <w:t>序号</w:t>
            </w:r>
          </w:p>
        </w:tc>
        <w:tc>
          <w:tcPr>
            <w:tcW w:w="1100" w:type="dxa"/>
            <w:noWrap w:val="0"/>
            <w:vAlign w:val="center"/>
          </w:tcPr>
          <w:p w14:paraId="5188B697">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auto"/>
              <w:rPr>
                <w:rFonts w:hint="eastAsia" w:ascii="仿宋" w:hAnsi="仿宋" w:eastAsia="仿宋" w:cs="仿宋"/>
                <w:b/>
                <w:bCs/>
                <w:snapToGrid w:val="0"/>
                <w:kern w:val="0"/>
                <w:sz w:val="21"/>
                <w:szCs w:val="21"/>
                <w:lang w:val="zh-CN"/>
              </w:rPr>
            </w:pPr>
            <w:r>
              <w:rPr>
                <w:rFonts w:hint="eastAsia" w:ascii="仿宋" w:hAnsi="仿宋" w:eastAsia="仿宋" w:cs="仿宋"/>
                <w:b/>
                <w:bCs/>
                <w:snapToGrid w:val="0"/>
                <w:kern w:val="0"/>
                <w:sz w:val="21"/>
                <w:szCs w:val="21"/>
                <w:lang w:val="zh-CN"/>
              </w:rPr>
              <w:t>商务和服务项目</w:t>
            </w:r>
          </w:p>
        </w:tc>
        <w:tc>
          <w:tcPr>
            <w:tcW w:w="6586" w:type="dxa"/>
            <w:noWrap w:val="0"/>
            <w:vAlign w:val="center"/>
          </w:tcPr>
          <w:p w14:paraId="2CD69627">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auto"/>
              <w:rPr>
                <w:rFonts w:hint="eastAsia" w:ascii="仿宋" w:hAnsi="仿宋" w:eastAsia="仿宋" w:cs="仿宋"/>
                <w:b/>
                <w:bCs/>
                <w:snapToGrid w:val="0"/>
                <w:kern w:val="0"/>
                <w:sz w:val="21"/>
                <w:szCs w:val="21"/>
                <w:lang w:val="zh-CN"/>
              </w:rPr>
            </w:pPr>
            <w:r>
              <w:rPr>
                <w:rFonts w:hint="eastAsia" w:ascii="仿宋" w:hAnsi="仿宋" w:eastAsia="仿宋" w:cs="仿宋"/>
                <w:b/>
                <w:bCs/>
                <w:snapToGrid w:val="0"/>
                <w:kern w:val="0"/>
                <w:sz w:val="21"/>
                <w:szCs w:val="21"/>
                <w:lang w:val="zh-CN"/>
              </w:rPr>
              <w:t>商务和服务要求</w:t>
            </w:r>
          </w:p>
        </w:tc>
      </w:tr>
      <w:tr w14:paraId="5994A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02" w:type="dxa"/>
            <w:noWrap w:val="0"/>
            <w:vAlign w:val="center"/>
          </w:tcPr>
          <w:p w14:paraId="0C58B1AF">
            <w:pPr>
              <w:keepNext w:val="0"/>
              <w:keepLines w:val="0"/>
              <w:pageBreakBefore w:val="0"/>
              <w:widowControl w:val="0"/>
              <w:kinsoku/>
              <w:wordWrap/>
              <w:overflowPunct/>
              <w:topLinePunct w:val="0"/>
              <w:autoSpaceDE w:val="0"/>
              <w:autoSpaceDN w:val="0"/>
              <w:bidi w:val="0"/>
              <w:adjustRightInd w:val="0"/>
              <w:snapToGrid w:val="0"/>
              <w:spacing w:before="157" w:beforeLines="50" w:line="360" w:lineRule="auto"/>
              <w:jc w:val="center"/>
              <w:textAlignment w:val="auto"/>
              <w:rPr>
                <w:rFonts w:hint="eastAsia" w:ascii="仿宋" w:hAnsi="仿宋" w:eastAsia="仿宋" w:cs="仿宋"/>
                <w:snapToGrid w:val="0"/>
                <w:kern w:val="0"/>
                <w:sz w:val="21"/>
                <w:szCs w:val="21"/>
                <w:lang w:val="zh-CN" w:eastAsia="zh-CN"/>
              </w:rPr>
            </w:pPr>
            <w:r>
              <w:rPr>
                <w:rFonts w:hint="eastAsia" w:ascii="仿宋" w:hAnsi="仿宋" w:eastAsia="仿宋" w:cs="仿宋"/>
                <w:snapToGrid w:val="0"/>
                <w:kern w:val="0"/>
                <w:sz w:val="21"/>
                <w:szCs w:val="21"/>
                <w:lang w:val="zh-CN" w:eastAsia="zh-CN"/>
              </w:rPr>
              <w:t>1</w:t>
            </w:r>
          </w:p>
        </w:tc>
        <w:tc>
          <w:tcPr>
            <w:tcW w:w="1100" w:type="dxa"/>
            <w:noWrap w:val="0"/>
            <w:vAlign w:val="center"/>
          </w:tcPr>
          <w:p w14:paraId="7FF5C711">
            <w:pPr>
              <w:keepNext w:val="0"/>
              <w:keepLines w:val="0"/>
              <w:pageBreakBefore w:val="0"/>
              <w:widowControl w:val="0"/>
              <w:kinsoku/>
              <w:wordWrap/>
              <w:overflowPunct/>
              <w:topLinePunct w:val="0"/>
              <w:autoSpaceDE w:val="0"/>
              <w:autoSpaceDN w:val="0"/>
              <w:bidi w:val="0"/>
              <w:adjustRightInd w:val="0"/>
              <w:snapToGrid w:val="0"/>
              <w:spacing w:before="157" w:beforeLines="50" w:line="360" w:lineRule="auto"/>
              <w:jc w:val="center"/>
              <w:textAlignment w:val="auto"/>
              <w:rPr>
                <w:rFonts w:hint="default" w:ascii="仿宋" w:hAnsi="仿宋" w:eastAsia="仿宋" w:cs="仿宋"/>
                <w:snapToGrid w:val="0"/>
                <w:kern w:val="0"/>
                <w:sz w:val="21"/>
                <w:szCs w:val="21"/>
                <w:lang w:val="en-US" w:eastAsia="zh-CN"/>
              </w:rPr>
            </w:pPr>
            <w:r>
              <w:rPr>
                <w:rFonts w:hint="eastAsia" w:ascii="仿宋" w:hAnsi="仿宋" w:eastAsia="仿宋" w:cs="仿宋"/>
                <w:snapToGrid w:val="0"/>
                <w:kern w:val="0"/>
                <w:sz w:val="21"/>
                <w:szCs w:val="21"/>
                <w:lang w:val="en-US" w:eastAsia="zh-CN"/>
              </w:rPr>
              <w:t>服务期</w:t>
            </w:r>
          </w:p>
        </w:tc>
        <w:tc>
          <w:tcPr>
            <w:tcW w:w="6586" w:type="dxa"/>
            <w:noWrap w:val="0"/>
            <w:vAlign w:val="center"/>
          </w:tcPr>
          <w:p w14:paraId="76E06FE1">
            <w:pPr>
              <w:keepNext w:val="0"/>
              <w:keepLines w:val="0"/>
              <w:pageBreakBefore w:val="0"/>
              <w:widowControl w:val="0"/>
              <w:kinsoku/>
              <w:wordWrap/>
              <w:overflowPunct/>
              <w:topLinePunct w:val="0"/>
              <w:autoSpaceDE w:val="0"/>
              <w:autoSpaceDN w:val="0"/>
              <w:bidi w:val="0"/>
              <w:adjustRightInd w:val="0"/>
              <w:snapToGrid w:val="0"/>
              <w:spacing w:before="157" w:beforeLines="50" w:line="360" w:lineRule="auto"/>
              <w:ind w:firstLine="420" w:firstLineChars="200"/>
              <w:jc w:val="both"/>
              <w:textAlignment w:val="auto"/>
              <w:rPr>
                <w:rFonts w:hint="eastAsia" w:ascii="仿宋" w:hAnsi="仿宋" w:eastAsia="仿宋" w:cs="仿宋"/>
                <w:snapToGrid w:val="0"/>
                <w:kern w:val="0"/>
                <w:sz w:val="21"/>
                <w:szCs w:val="21"/>
                <w:lang w:val="en-US" w:eastAsia="zh-CN"/>
              </w:rPr>
            </w:pPr>
            <w:r>
              <w:rPr>
                <w:rFonts w:hint="eastAsia" w:ascii="仿宋" w:hAnsi="仿宋" w:eastAsia="仿宋" w:cs="仿宋"/>
                <w:snapToGrid w:val="0"/>
                <w:kern w:val="0"/>
                <w:sz w:val="21"/>
                <w:szCs w:val="21"/>
                <w:lang w:val="en-US" w:eastAsia="zh-CN"/>
              </w:rPr>
              <w:t>项目服务周期为1年。</w:t>
            </w:r>
          </w:p>
        </w:tc>
      </w:tr>
      <w:tr w14:paraId="716D1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noWrap w:val="0"/>
            <w:vAlign w:val="center"/>
          </w:tcPr>
          <w:p w14:paraId="356CCFD9">
            <w:pPr>
              <w:keepNext w:val="0"/>
              <w:keepLines w:val="0"/>
              <w:pageBreakBefore w:val="0"/>
              <w:kinsoku/>
              <w:wordWrap/>
              <w:overflowPunct/>
              <w:topLinePunct w:val="0"/>
              <w:autoSpaceDE w:val="0"/>
              <w:autoSpaceDN w:val="0"/>
              <w:bidi w:val="0"/>
              <w:adjustRightInd w:val="0"/>
              <w:snapToGrid w:val="0"/>
              <w:spacing w:line="360" w:lineRule="auto"/>
              <w:jc w:val="center"/>
              <w:textAlignment w:val="auto"/>
              <w:rPr>
                <w:rFonts w:hint="default" w:ascii="仿宋" w:hAnsi="仿宋" w:eastAsia="仿宋" w:cs="仿宋"/>
                <w:snapToGrid w:val="0"/>
                <w:kern w:val="0"/>
                <w:sz w:val="21"/>
                <w:szCs w:val="21"/>
                <w:lang w:val="en-US" w:eastAsia="zh-CN"/>
              </w:rPr>
            </w:pPr>
            <w:r>
              <w:rPr>
                <w:rFonts w:hint="eastAsia" w:ascii="仿宋" w:hAnsi="仿宋" w:eastAsia="仿宋" w:cs="仿宋"/>
                <w:snapToGrid w:val="0"/>
                <w:kern w:val="0"/>
                <w:sz w:val="21"/>
                <w:szCs w:val="21"/>
                <w:lang w:val="en-US" w:eastAsia="zh-CN"/>
              </w:rPr>
              <w:t>2</w:t>
            </w:r>
          </w:p>
        </w:tc>
        <w:tc>
          <w:tcPr>
            <w:tcW w:w="1100" w:type="dxa"/>
            <w:noWrap w:val="0"/>
            <w:vAlign w:val="center"/>
          </w:tcPr>
          <w:p w14:paraId="054A3E79">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auto"/>
              <w:rPr>
                <w:rFonts w:hint="eastAsia" w:ascii="仿宋" w:hAnsi="仿宋" w:eastAsia="仿宋" w:cs="仿宋"/>
                <w:snapToGrid w:val="0"/>
                <w:kern w:val="0"/>
                <w:sz w:val="21"/>
                <w:szCs w:val="21"/>
                <w:lang w:val="zh-CN"/>
              </w:rPr>
            </w:pPr>
            <w:r>
              <w:rPr>
                <w:rFonts w:hint="eastAsia" w:ascii="仿宋" w:hAnsi="仿宋" w:eastAsia="仿宋" w:cs="仿宋"/>
                <w:snapToGrid w:val="0"/>
                <w:kern w:val="0"/>
                <w:sz w:val="21"/>
                <w:szCs w:val="21"/>
                <w:lang w:val="zh-CN"/>
              </w:rPr>
              <w:t>服务标准</w:t>
            </w:r>
          </w:p>
        </w:tc>
        <w:tc>
          <w:tcPr>
            <w:tcW w:w="6586" w:type="dxa"/>
            <w:noWrap w:val="0"/>
            <w:vAlign w:val="center"/>
          </w:tcPr>
          <w:p w14:paraId="0B4647FC">
            <w:pPr>
              <w:numPr>
                <w:ilvl w:val="0"/>
                <w:numId w:val="0"/>
              </w:numPr>
              <w:bidi w:val="0"/>
              <w:ind w:leftChars="0" w:firstLine="420" w:firstLineChars="200"/>
              <w:jc w:val="both"/>
              <w:rPr>
                <w:rFonts w:hint="eastAsia" w:ascii="仿宋" w:hAnsi="仿宋" w:eastAsia="仿宋" w:cs="仿宋"/>
                <w:b w:val="0"/>
                <w:bCs w:val="0"/>
                <w:highlight w:val="none"/>
                <w:lang w:val="en-US" w:eastAsia="zh-CN"/>
              </w:rPr>
            </w:pPr>
            <w:r>
              <w:rPr>
                <w:rFonts w:hint="eastAsia" w:ascii="仿宋" w:hAnsi="仿宋" w:eastAsia="仿宋" w:cs="仿宋"/>
                <w:b w:val="0"/>
                <w:bCs w:val="0"/>
                <w:highlight w:val="none"/>
                <w:lang w:val="en-US" w:eastAsia="zh-CN"/>
              </w:rPr>
              <w:t>（1）人员配备：本项目至少配置2位人员，包括1位负责人（协调整个服务期的项目进展）、1位实施人员（原则上驻场服务，负责各项数据上报的具体服务）。</w:t>
            </w:r>
          </w:p>
          <w:p w14:paraId="226109C7">
            <w:pPr>
              <w:numPr>
                <w:ilvl w:val="0"/>
                <w:numId w:val="0"/>
              </w:numPr>
              <w:bidi w:val="0"/>
              <w:ind w:leftChars="0" w:firstLine="420" w:firstLineChars="200"/>
              <w:jc w:val="both"/>
              <w:rPr>
                <w:rFonts w:hint="default" w:ascii="仿宋" w:hAnsi="仿宋" w:eastAsia="仿宋" w:cs="仿宋"/>
                <w:sz w:val="21"/>
                <w:szCs w:val="21"/>
                <w:lang w:val="en-US" w:eastAsia="zh-CN"/>
              </w:rPr>
            </w:pPr>
            <w:r>
              <w:rPr>
                <w:rFonts w:hint="eastAsia" w:ascii="仿宋" w:hAnsi="仿宋" w:eastAsia="仿宋" w:cs="仿宋"/>
                <w:b w:val="0"/>
                <w:bCs w:val="0"/>
                <w:highlight w:val="none"/>
                <w:lang w:val="en-US" w:eastAsia="zh-CN"/>
              </w:rPr>
              <w:t>（2）服务要求：在项目服务期内，项目中所有技术和服务发生任何非人为故障，需由项目团队负责系统恢复。项目团队需在收到通知后2小时内响应，并在24小时内完成全部维修工作。</w:t>
            </w:r>
          </w:p>
        </w:tc>
      </w:tr>
      <w:tr w14:paraId="6CD14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noWrap w:val="0"/>
            <w:vAlign w:val="center"/>
          </w:tcPr>
          <w:p w14:paraId="79E3D9C6">
            <w:pPr>
              <w:keepNext w:val="0"/>
              <w:keepLines w:val="0"/>
              <w:pageBreakBefore w:val="0"/>
              <w:kinsoku/>
              <w:wordWrap/>
              <w:overflowPunct/>
              <w:topLinePunct w:val="0"/>
              <w:autoSpaceDE w:val="0"/>
              <w:autoSpaceDN w:val="0"/>
              <w:bidi w:val="0"/>
              <w:adjustRightInd w:val="0"/>
              <w:snapToGrid w:val="0"/>
              <w:spacing w:line="360" w:lineRule="auto"/>
              <w:jc w:val="center"/>
              <w:textAlignment w:val="auto"/>
              <w:rPr>
                <w:rFonts w:hint="eastAsia" w:ascii="仿宋" w:hAnsi="仿宋" w:eastAsia="仿宋" w:cs="仿宋"/>
                <w:snapToGrid w:val="0"/>
                <w:kern w:val="0"/>
                <w:sz w:val="21"/>
                <w:szCs w:val="21"/>
                <w:lang w:val="en-US" w:eastAsia="zh-CN"/>
              </w:rPr>
            </w:pPr>
            <w:r>
              <w:rPr>
                <w:rFonts w:hint="eastAsia" w:ascii="仿宋" w:hAnsi="仿宋" w:eastAsia="仿宋" w:cs="仿宋"/>
                <w:snapToGrid w:val="0"/>
                <w:kern w:val="0"/>
                <w:sz w:val="21"/>
                <w:szCs w:val="21"/>
                <w:lang w:val="en-US" w:eastAsia="zh-CN"/>
              </w:rPr>
              <w:t>3</w:t>
            </w:r>
          </w:p>
        </w:tc>
        <w:tc>
          <w:tcPr>
            <w:tcW w:w="1100" w:type="dxa"/>
            <w:noWrap w:val="0"/>
            <w:vAlign w:val="center"/>
          </w:tcPr>
          <w:p w14:paraId="59F27780">
            <w:pPr>
              <w:numPr>
                <w:ilvl w:val="0"/>
                <w:numId w:val="0"/>
              </w:numPr>
              <w:bidi w:val="0"/>
              <w:jc w:val="center"/>
              <w:rPr>
                <w:rFonts w:hint="eastAsia" w:ascii="仿宋" w:hAnsi="仿宋" w:eastAsia="仿宋" w:cs="仿宋"/>
                <w:b w:val="0"/>
                <w:bCs w:val="0"/>
                <w:highlight w:val="none"/>
                <w:lang w:val="zh-CN" w:eastAsia="zh-CN"/>
              </w:rPr>
            </w:pPr>
            <w:r>
              <w:rPr>
                <w:rFonts w:hint="eastAsia" w:ascii="仿宋" w:hAnsi="仿宋" w:eastAsia="仿宋" w:cs="仿宋"/>
                <w:b w:val="0"/>
                <w:bCs w:val="0"/>
                <w:highlight w:val="none"/>
                <w:lang w:val="zh-CN" w:eastAsia="zh-CN"/>
              </w:rPr>
              <w:t>培训</w:t>
            </w:r>
          </w:p>
        </w:tc>
        <w:tc>
          <w:tcPr>
            <w:tcW w:w="6586" w:type="dxa"/>
            <w:noWrap w:val="0"/>
            <w:vAlign w:val="center"/>
          </w:tcPr>
          <w:p w14:paraId="28E78536">
            <w:pPr>
              <w:numPr>
                <w:ilvl w:val="0"/>
                <w:numId w:val="0"/>
              </w:numPr>
              <w:bidi w:val="0"/>
              <w:ind w:firstLine="420" w:firstLineChars="200"/>
              <w:jc w:val="left"/>
              <w:rPr>
                <w:rFonts w:hint="eastAsia" w:ascii="仿宋" w:hAnsi="仿宋" w:eastAsia="仿宋" w:cs="仿宋"/>
                <w:b w:val="0"/>
                <w:bCs w:val="0"/>
                <w:highlight w:val="none"/>
                <w:lang w:val="en-US" w:eastAsia="zh-CN"/>
              </w:rPr>
            </w:pPr>
            <w:r>
              <w:rPr>
                <w:rFonts w:hint="eastAsia" w:ascii="仿宋" w:hAnsi="仿宋" w:eastAsia="仿宋" w:cs="仿宋"/>
                <w:b w:val="0"/>
                <w:bCs w:val="0"/>
                <w:highlight w:val="none"/>
                <w:lang w:val="en-US" w:eastAsia="zh-CN"/>
              </w:rPr>
              <w:t>项目团队须提供数据上报管理工具操作培训方案，方案内容包括但不限于培训方式、培训课时及培训目标成果等内容。</w:t>
            </w:r>
          </w:p>
        </w:tc>
      </w:tr>
      <w:tr w14:paraId="1D631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noWrap w:val="0"/>
            <w:vAlign w:val="center"/>
          </w:tcPr>
          <w:p w14:paraId="0355CF94">
            <w:pPr>
              <w:keepNext w:val="0"/>
              <w:keepLines w:val="0"/>
              <w:pageBreakBefore w:val="0"/>
              <w:kinsoku/>
              <w:wordWrap/>
              <w:overflowPunct/>
              <w:topLinePunct w:val="0"/>
              <w:autoSpaceDE w:val="0"/>
              <w:autoSpaceDN w:val="0"/>
              <w:bidi w:val="0"/>
              <w:adjustRightInd w:val="0"/>
              <w:snapToGrid w:val="0"/>
              <w:spacing w:line="360" w:lineRule="auto"/>
              <w:jc w:val="center"/>
              <w:textAlignment w:val="auto"/>
              <w:rPr>
                <w:rFonts w:hint="eastAsia" w:ascii="仿宋" w:hAnsi="仿宋" w:eastAsia="仿宋" w:cs="仿宋"/>
                <w:snapToGrid w:val="0"/>
                <w:kern w:val="0"/>
                <w:sz w:val="21"/>
                <w:szCs w:val="21"/>
                <w:lang w:val="en-US" w:eastAsia="zh-CN"/>
              </w:rPr>
            </w:pPr>
            <w:r>
              <w:rPr>
                <w:rFonts w:hint="eastAsia" w:ascii="仿宋" w:hAnsi="仿宋" w:eastAsia="仿宋" w:cs="仿宋"/>
                <w:snapToGrid w:val="0"/>
                <w:kern w:val="0"/>
                <w:sz w:val="21"/>
                <w:szCs w:val="21"/>
                <w:lang w:val="en-US" w:eastAsia="zh-CN"/>
              </w:rPr>
              <w:t>4</w:t>
            </w:r>
          </w:p>
        </w:tc>
        <w:tc>
          <w:tcPr>
            <w:tcW w:w="1100" w:type="dxa"/>
            <w:noWrap w:val="0"/>
            <w:vAlign w:val="center"/>
          </w:tcPr>
          <w:p w14:paraId="40A029A7">
            <w:pPr>
              <w:numPr>
                <w:ilvl w:val="0"/>
                <w:numId w:val="0"/>
              </w:numPr>
              <w:bidi w:val="0"/>
              <w:jc w:val="center"/>
              <w:rPr>
                <w:rFonts w:hint="default" w:ascii="仿宋" w:hAnsi="仿宋" w:eastAsia="仿宋" w:cs="仿宋"/>
                <w:b w:val="0"/>
                <w:bCs w:val="0"/>
                <w:highlight w:val="none"/>
                <w:lang w:val="en-US" w:eastAsia="zh-CN"/>
              </w:rPr>
            </w:pPr>
            <w:r>
              <w:rPr>
                <w:rFonts w:hint="eastAsia" w:ascii="仿宋" w:hAnsi="仿宋" w:eastAsia="仿宋" w:cs="仿宋"/>
                <w:b w:val="0"/>
                <w:bCs w:val="0"/>
                <w:highlight w:val="none"/>
                <w:lang w:val="en-US" w:eastAsia="zh-CN"/>
              </w:rPr>
              <w:t>考核标准</w:t>
            </w:r>
          </w:p>
        </w:tc>
        <w:tc>
          <w:tcPr>
            <w:tcW w:w="6586" w:type="dxa"/>
            <w:noWrap w:val="0"/>
            <w:vAlign w:val="center"/>
          </w:tcPr>
          <w:p w14:paraId="0ABDB2CC">
            <w:pPr>
              <w:numPr>
                <w:ilvl w:val="0"/>
                <w:numId w:val="0"/>
              </w:numPr>
              <w:bidi w:val="0"/>
              <w:ind w:firstLine="420" w:firstLineChars="200"/>
              <w:jc w:val="left"/>
              <w:rPr>
                <w:rFonts w:hint="eastAsia" w:ascii="仿宋" w:hAnsi="仿宋" w:eastAsia="仿宋" w:cs="仿宋"/>
                <w:b w:val="0"/>
                <w:bCs w:val="0"/>
                <w:highlight w:val="none"/>
                <w:lang w:val="en-US" w:eastAsia="zh-CN"/>
              </w:rPr>
            </w:pPr>
            <w:r>
              <w:rPr>
                <w:rFonts w:hint="eastAsia" w:ascii="仿宋" w:hAnsi="仿宋" w:eastAsia="仿宋" w:cs="仿宋"/>
                <w:b w:val="0"/>
                <w:bCs w:val="0"/>
                <w:highlight w:val="none"/>
                <w:lang w:val="en-US" w:eastAsia="zh-CN"/>
              </w:rPr>
              <w:t>为评价项目团队提供的服务质量，每半年对数据上报全链路服务和数据上报支撑保障进行考核评分（百分制）。详细考核表如下表：</w:t>
            </w:r>
          </w:p>
          <w:tbl>
            <w:tblPr>
              <w:tblStyle w:val="17"/>
              <w:tblW w:w="5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2"/>
              <w:gridCol w:w="3439"/>
              <w:gridCol w:w="934"/>
            </w:tblGrid>
            <w:tr w14:paraId="5809B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2" w:type="dxa"/>
                  <w:shd w:val="clear" w:color="auto" w:fill="auto"/>
                  <w:vAlign w:val="center"/>
                </w:tcPr>
                <w:p w14:paraId="542BC9E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szCs w:val="21"/>
                      <w:lang w:val="en-US" w:eastAsia="zh-CN"/>
                    </w:rPr>
                  </w:pPr>
                  <w:r>
                    <w:rPr>
                      <w:rFonts w:hint="eastAsia" w:ascii="仿宋" w:hAnsi="仿宋" w:eastAsia="仿宋" w:cs="仿宋"/>
                      <w:b/>
                      <w:bCs/>
                      <w:szCs w:val="21"/>
                      <w:lang w:val="en-US" w:eastAsia="zh-CN"/>
                    </w:rPr>
                    <w:t>考核项</w:t>
                  </w:r>
                </w:p>
              </w:tc>
              <w:tc>
                <w:tcPr>
                  <w:tcW w:w="3439" w:type="dxa"/>
                  <w:shd w:val="clear" w:color="auto" w:fill="auto"/>
                  <w:vAlign w:val="center"/>
                </w:tcPr>
                <w:p w14:paraId="2D557F1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Cs w:val="21"/>
                    </w:rPr>
                  </w:pPr>
                  <w:r>
                    <w:rPr>
                      <w:rFonts w:hint="eastAsia" w:ascii="仿宋" w:hAnsi="仿宋" w:eastAsia="仿宋" w:cs="仿宋"/>
                      <w:b/>
                      <w:bCs/>
                      <w:szCs w:val="21"/>
                    </w:rPr>
                    <w:t>评价描述</w:t>
                  </w:r>
                </w:p>
              </w:tc>
              <w:tc>
                <w:tcPr>
                  <w:tcW w:w="934" w:type="dxa"/>
                  <w:shd w:val="clear" w:color="auto" w:fill="auto"/>
                  <w:vAlign w:val="center"/>
                </w:tcPr>
                <w:p w14:paraId="2FCD44B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szCs w:val="21"/>
                      <w:lang w:val="en-US" w:eastAsia="zh-CN"/>
                    </w:rPr>
                  </w:pPr>
                  <w:r>
                    <w:rPr>
                      <w:rFonts w:hint="eastAsia" w:ascii="仿宋" w:hAnsi="仿宋" w:eastAsia="仿宋" w:cs="仿宋"/>
                      <w:b/>
                      <w:bCs/>
                      <w:szCs w:val="21"/>
                      <w:lang w:val="en-US" w:eastAsia="zh-CN"/>
                    </w:rPr>
                    <w:t>扣分</w:t>
                  </w:r>
                </w:p>
                <w:p w14:paraId="486FFCA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szCs w:val="21"/>
                      <w:lang w:val="en-US" w:eastAsia="zh-CN"/>
                    </w:rPr>
                  </w:pPr>
                  <w:r>
                    <w:rPr>
                      <w:rFonts w:hint="eastAsia" w:ascii="仿宋" w:hAnsi="仿宋" w:eastAsia="仿宋" w:cs="仿宋"/>
                      <w:b/>
                      <w:bCs/>
                      <w:szCs w:val="21"/>
                      <w:lang w:val="en-US" w:eastAsia="zh-CN"/>
                    </w:rPr>
                    <w:t>说明</w:t>
                  </w:r>
                </w:p>
              </w:tc>
            </w:tr>
            <w:tr w14:paraId="3B3D7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522" w:type="dxa"/>
                  <w:shd w:val="clear" w:color="auto" w:fill="auto"/>
                  <w:vAlign w:val="center"/>
                </w:tcPr>
                <w:p w14:paraId="520B931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效率考核</w:t>
                  </w:r>
                </w:p>
                <w:p w14:paraId="61132BC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（初始</w:t>
                  </w:r>
                  <w:r>
                    <w:rPr>
                      <w:rFonts w:hint="eastAsia" w:ascii="仿宋" w:hAnsi="仿宋" w:eastAsia="仿宋" w:cs="仿宋"/>
                      <w:b/>
                      <w:bCs/>
                      <w:sz w:val="21"/>
                      <w:szCs w:val="21"/>
                      <w:lang w:val="en-US" w:eastAsia="zh-CN"/>
                    </w:rPr>
                    <w:t>30</w:t>
                  </w:r>
                  <w:r>
                    <w:rPr>
                      <w:rFonts w:hint="eastAsia" w:ascii="仿宋" w:hAnsi="仿宋" w:eastAsia="仿宋" w:cs="仿宋"/>
                      <w:sz w:val="21"/>
                      <w:szCs w:val="21"/>
                      <w:lang w:val="en-US" w:eastAsia="zh-CN"/>
                    </w:rPr>
                    <w:t>分，扣完为止）</w:t>
                  </w:r>
                </w:p>
              </w:tc>
              <w:tc>
                <w:tcPr>
                  <w:tcW w:w="3439" w:type="dxa"/>
                  <w:shd w:val="clear" w:color="auto" w:fill="auto"/>
                  <w:vAlign w:val="center"/>
                </w:tcPr>
                <w:p w14:paraId="2514A33B">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sz w:val="21"/>
                      <w:szCs w:val="21"/>
                    </w:rPr>
                  </w:pPr>
                  <w:r>
                    <w:rPr>
                      <w:rFonts w:hint="eastAsia" w:ascii="仿宋" w:hAnsi="仿宋" w:eastAsia="仿宋" w:cs="仿宋"/>
                      <w:sz w:val="21"/>
                      <w:szCs w:val="21"/>
                    </w:rPr>
                    <w:t>未充分规划</w:t>
                  </w:r>
                  <w:r>
                    <w:rPr>
                      <w:rFonts w:hint="eastAsia" w:ascii="仿宋" w:hAnsi="仿宋" w:eastAsia="仿宋" w:cs="仿宋"/>
                      <w:sz w:val="21"/>
                      <w:szCs w:val="21"/>
                      <w:lang w:eastAsia="zh-CN"/>
                    </w:rPr>
                    <w:t>，</w:t>
                  </w:r>
                  <w:r>
                    <w:rPr>
                      <w:rFonts w:hint="eastAsia" w:ascii="仿宋" w:hAnsi="仿宋" w:eastAsia="仿宋" w:cs="仿宋"/>
                      <w:sz w:val="21"/>
                      <w:szCs w:val="21"/>
                    </w:rPr>
                    <w:t>在规定时间内不能完成</w:t>
                  </w:r>
                  <w:r>
                    <w:rPr>
                      <w:rFonts w:hint="eastAsia" w:ascii="仿宋" w:hAnsi="仿宋" w:eastAsia="仿宋" w:cs="仿宋"/>
                      <w:sz w:val="21"/>
                      <w:szCs w:val="21"/>
                      <w:lang w:val="en-US" w:eastAsia="zh-CN"/>
                    </w:rPr>
                    <w:t>上报</w:t>
                  </w:r>
                  <w:r>
                    <w:rPr>
                      <w:rFonts w:hint="eastAsia" w:ascii="仿宋" w:hAnsi="仿宋" w:eastAsia="仿宋" w:cs="仿宋"/>
                      <w:sz w:val="21"/>
                      <w:szCs w:val="21"/>
                    </w:rPr>
                    <w:t>任务</w:t>
                  </w:r>
                </w:p>
              </w:tc>
              <w:tc>
                <w:tcPr>
                  <w:tcW w:w="934" w:type="dxa"/>
                  <w:shd w:val="clear" w:color="auto" w:fill="auto"/>
                  <w:vAlign w:val="center"/>
                </w:tcPr>
                <w:p w14:paraId="659C8D0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每次扣</w:t>
                  </w:r>
                </w:p>
                <w:p w14:paraId="04F8CE5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1"/>
                      <w:szCs w:val="21"/>
                      <w:lang w:val="en-US" w:eastAsia="zh-CN"/>
                    </w:rPr>
                  </w:pPr>
                  <w:r>
                    <w:rPr>
                      <w:rFonts w:hint="eastAsia" w:ascii="仿宋" w:hAnsi="仿宋" w:eastAsia="仿宋" w:cs="仿宋"/>
                      <w:b/>
                      <w:bCs/>
                      <w:sz w:val="21"/>
                      <w:szCs w:val="21"/>
                    </w:rPr>
                    <w:t>5</w:t>
                  </w:r>
                  <w:r>
                    <w:rPr>
                      <w:rFonts w:hint="eastAsia" w:ascii="仿宋" w:hAnsi="仿宋" w:eastAsia="仿宋" w:cs="仿宋"/>
                      <w:sz w:val="21"/>
                      <w:szCs w:val="21"/>
                    </w:rPr>
                    <w:t>分</w:t>
                  </w:r>
                </w:p>
              </w:tc>
            </w:tr>
            <w:tr w14:paraId="41A42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522" w:type="dxa"/>
                  <w:vMerge w:val="restart"/>
                  <w:shd w:val="clear" w:color="auto" w:fill="auto"/>
                  <w:vAlign w:val="center"/>
                </w:tcPr>
                <w:p w14:paraId="5546E81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质量考核</w:t>
                  </w:r>
                </w:p>
                <w:p w14:paraId="41C6CCF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（初始</w:t>
                  </w:r>
                  <w:r>
                    <w:rPr>
                      <w:rFonts w:hint="eastAsia" w:ascii="仿宋" w:hAnsi="仿宋" w:eastAsia="仿宋" w:cs="仿宋"/>
                      <w:b/>
                      <w:bCs/>
                      <w:sz w:val="21"/>
                      <w:szCs w:val="21"/>
                      <w:lang w:val="en-US" w:eastAsia="zh-CN"/>
                    </w:rPr>
                    <w:t>50</w:t>
                  </w:r>
                  <w:r>
                    <w:rPr>
                      <w:rFonts w:hint="eastAsia" w:ascii="仿宋" w:hAnsi="仿宋" w:eastAsia="仿宋" w:cs="仿宋"/>
                      <w:sz w:val="21"/>
                      <w:szCs w:val="21"/>
                      <w:lang w:val="en-US" w:eastAsia="zh-CN"/>
                    </w:rPr>
                    <w:t>分，扣完为止）</w:t>
                  </w:r>
                </w:p>
              </w:tc>
              <w:tc>
                <w:tcPr>
                  <w:tcW w:w="3439" w:type="dxa"/>
                  <w:shd w:val="clear" w:color="auto" w:fill="auto"/>
                  <w:vAlign w:val="center"/>
                </w:tcPr>
                <w:p w14:paraId="31906442">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sz w:val="21"/>
                      <w:szCs w:val="21"/>
                    </w:rPr>
                  </w:pPr>
                  <w:r>
                    <w:rPr>
                      <w:rFonts w:hint="eastAsia" w:ascii="仿宋" w:hAnsi="仿宋" w:eastAsia="仿宋" w:cs="仿宋"/>
                      <w:sz w:val="21"/>
                      <w:szCs w:val="21"/>
                    </w:rPr>
                    <w:t>质量异常（</w:t>
                  </w:r>
                  <w:r>
                    <w:rPr>
                      <w:rFonts w:hint="eastAsia" w:ascii="仿宋" w:hAnsi="仿宋" w:eastAsia="仿宋" w:cs="仿宋"/>
                      <w:sz w:val="21"/>
                      <w:szCs w:val="21"/>
                      <w:lang w:val="en-US" w:eastAsia="zh-CN"/>
                    </w:rPr>
                    <w:t>出现数据质量不达标等情况</w:t>
                  </w:r>
                  <w:r>
                    <w:rPr>
                      <w:rFonts w:hint="eastAsia" w:ascii="仿宋" w:hAnsi="仿宋" w:eastAsia="仿宋" w:cs="仿宋"/>
                      <w:sz w:val="21"/>
                      <w:szCs w:val="21"/>
                    </w:rPr>
                    <w:t>）</w:t>
                  </w:r>
                </w:p>
              </w:tc>
              <w:tc>
                <w:tcPr>
                  <w:tcW w:w="934" w:type="dxa"/>
                  <w:shd w:val="clear" w:color="auto" w:fill="auto"/>
                  <w:vAlign w:val="center"/>
                </w:tcPr>
                <w:p w14:paraId="487B85D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每次扣</w:t>
                  </w:r>
                </w:p>
                <w:p w14:paraId="51C0919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1"/>
                      <w:szCs w:val="21"/>
                    </w:rPr>
                  </w:pPr>
                  <w:r>
                    <w:rPr>
                      <w:rFonts w:hint="eastAsia" w:ascii="仿宋" w:hAnsi="仿宋" w:eastAsia="仿宋" w:cs="仿宋"/>
                      <w:b/>
                      <w:bCs/>
                      <w:sz w:val="21"/>
                      <w:szCs w:val="21"/>
                      <w:lang w:val="en-US" w:eastAsia="zh-CN"/>
                    </w:rPr>
                    <w:t>5</w:t>
                  </w:r>
                  <w:r>
                    <w:rPr>
                      <w:rFonts w:hint="eastAsia" w:ascii="仿宋" w:hAnsi="仿宋" w:eastAsia="仿宋" w:cs="仿宋"/>
                      <w:sz w:val="21"/>
                      <w:szCs w:val="21"/>
                    </w:rPr>
                    <w:t>分</w:t>
                  </w:r>
                </w:p>
              </w:tc>
            </w:tr>
            <w:tr w14:paraId="4BF0D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522" w:type="dxa"/>
                  <w:vMerge w:val="continue"/>
                  <w:shd w:val="clear" w:color="auto" w:fill="auto"/>
                  <w:vAlign w:val="center"/>
                </w:tcPr>
                <w:p w14:paraId="5023A5E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1"/>
                      <w:szCs w:val="21"/>
                    </w:rPr>
                  </w:pPr>
                </w:p>
              </w:tc>
              <w:tc>
                <w:tcPr>
                  <w:tcW w:w="3439" w:type="dxa"/>
                  <w:shd w:val="clear" w:color="auto" w:fill="auto"/>
                  <w:vAlign w:val="center"/>
                </w:tcPr>
                <w:p w14:paraId="68582FF1">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sz w:val="21"/>
                      <w:szCs w:val="21"/>
                    </w:rPr>
                  </w:pPr>
                  <w:r>
                    <w:rPr>
                      <w:rFonts w:hint="eastAsia" w:ascii="仿宋" w:hAnsi="仿宋" w:eastAsia="仿宋" w:cs="仿宋"/>
                      <w:sz w:val="21"/>
                      <w:szCs w:val="21"/>
                    </w:rPr>
                    <w:t>严重质量异常（</w:t>
                  </w:r>
                  <w:r>
                    <w:rPr>
                      <w:rFonts w:hint="eastAsia" w:ascii="仿宋" w:hAnsi="仿宋" w:eastAsia="仿宋" w:cs="仿宋"/>
                      <w:sz w:val="21"/>
                      <w:szCs w:val="21"/>
                      <w:lang w:val="en-US" w:eastAsia="zh-CN"/>
                    </w:rPr>
                    <w:t>出现上报数据缺漏等情况</w:t>
                  </w:r>
                  <w:r>
                    <w:rPr>
                      <w:rFonts w:hint="eastAsia" w:ascii="仿宋" w:hAnsi="仿宋" w:eastAsia="仿宋" w:cs="仿宋"/>
                      <w:sz w:val="21"/>
                      <w:szCs w:val="21"/>
                    </w:rPr>
                    <w:t>）</w:t>
                  </w:r>
                </w:p>
              </w:tc>
              <w:tc>
                <w:tcPr>
                  <w:tcW w:w="934" w:type="dxa"/>
                  <w:shd w:val="clear" w:color="auto" w:fill="auto"/>
                  <w:vAlign w:val="center"/>
                </w:tcPr>
                <w:p w14:paraId="3364A0B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每次扣</w:t>
                  </w:r>
                </w:p>
                <w:p w14:paraId="36D95BE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1"/>
                      <w:szCs w:val="21"/>
                    </w:rPr>
                  </w:pPr>
                  <w:r>
                    <w:rPr>
                      <w:rFonts w:hint="eastAsia" w:ascii="仿宋" w:hAnsi="仿宋" w:eastAsia="仿宋" w:cs="仿宋"/>
                      <w:b/>
                      <w:bCs/>
                      <w:sz w:val="21"/>
                      <w:szCs w:val="21"/>
                      <w:lang w:val="en-US" w:eastAsia="zh-CN"/>
                    </w:rPr>
                    <w:t>10</w:t>
                  </w:r>
                  <w:r>
                    <w:rPr>
                      <w:rFonts w:hint="eastAsia" w:ascii="仿宋" w:hAnsi="仿宋" w:eastAsia="仿宋" w:cs="仿宋"/>
                      <w:sz w:val="21"/>
                      <w:szCs w:val="21"/>
                    </w:rPr>
                    <w:t>分</w:t>
                  </w:r>
                </w:p>
              </w:tc>
            </w:tr>
            <w:tr w14:paraId="43740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522" w:type="dxa"/>
                  <w:vMerge w:val="continue"/>
                  <w:shd w:val="clear" w:color="auto" w:fill="auto"/>
                  <w:vAlign w:val="center"/>
                </w:tcPr>
                <w:p w14:paraId="313A08FB">
                  <w:pPr>
                    <w:keepNext w:val="0"/>
                    <w:keepLines w:val="0"/>
                    <w:pageBreakBefore w:val="0"/>
                    <w:widowControl w:val="0"/>
                    <w:kinsoku/>
                    <w:wordWrap/>
                    <w:overflowPunct/>
                    <w:topLinePunct w:val="0"/>
                    <w:autoSpaceDE/>
                    <w:autoSpaceDN/>
                    <w:bidi w:val="0"/>
                    <w:spacing w:line="240" w:lineRule="auto"/>
                    <w:jc w:val="center"/>
                    <w:textAlignment w:val="auto"/>
                    <w:rPr>
                      <w:rFonts w:hint="eastAsia" w:ascii="仿宋" w:hAnsi="仿宋" w:eastAsia="仿宋" w:cs="仿宋"/>
                      <w:sz w:val="21"/>
                      <w:szCs w:val="21"/>
                      <w:lang w:val="en-US" w:eastAsia="zh-CN"/>
                    </w:rPr>
                  </w:pPr>
                </w:p>
              </w:tc>
              <w:tc>
                <w:tcPr>
                  <w:tcW w:w="3439" w:type="dxa"/>
                  <w:shd w:val="clear" w:color="auto" w:fill="auto"/>
                  <w:vAlign w:val="center"/>
                </w:tcPr>
                <w:p w14:paraId="56977F15">
                  <w:pPr>
                    <w:keepNext w:val="0"/>
                    <w:keepLines w:val="0"/>
                    <w:pageBreakBefore w:val="0"/>
                    <w:widowControl w:val="0"/>
                    <w:kinsoku/>
                    <w:wordWrap/>
                    <w:overflowPunct/>
                    <w:topLinePunct w:val="0"/>
                    <w:autoSpaceDE/>
                    <w:autoSpaceDN/>
                    <w:bidi w:val="0"/>
                    <w:spacing w:line="240" w:lineRule="auto"/>
                    <w:jc w:val="both"/>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重大质量异常（出现被各级各类数据归口部门点名通报或要求整改等情况）</w:t>
                  </w:r>
                </w:p>
              </w:tc>
              <w:tc>
                <w:tcPr>
                  <w:tcW w:w="934" w:type="dxa"/>
                  <w:shd w:val="clear" w:color="auto" w:fill="auto"/>
                  <w:vAlign w:val="center"/>
                </w:tcPr>
                <w:p w14:paraId="12CCBEE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每次扣</w:t>
                  </w:r>
                </w:p>
                <w:p w14:paraId="192D49E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1"/>
                      <w:szCs w:val="21"/>
                    </w:rPr>
                  </w:pPr>
                  <w:r>
                    <w:rPr>
                      <w:rFonts w:hint="eastAsia" w:ascii="仿宋" w:hAnsi="仿宋" w:eastAsia="仿宋" w:cs="仿宋"/>
                      <w:b/>
                      <w:bCs/>
                      <w:sz w:val="21"/>
                      <w:szCs w:val="21"/>
                      <w:lang w:val="en-US" w:eastAsia="zh-CN"/>
                    </w:rPr>
                    <w:t>20</w:t>
                  </w:r>
                  <w:r>
                    <w:rPr>
                      <w:rFonts w:hint="eastAsia" w:ascii="仿宋" w:hAnsi="仿宋" w:eastAsia="仿宋" w:cs="仿宋"/>
                      <w:sz w:val="21"/>
                      <w:szCs w:val="21"/>
                    </w:rPr>
                    <w:t>分</w:t>
                  </w:r>
                </w:p>
              </w:tc>
            </w:tr>
            <w:tr w14:paraId="7B305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22" w:type="dxa"/>
                  <w:vMerge w:val="restart"/>
                  <w:shd w:val="clear" w:color="auto" w:fill="auto"/>
                  <w:vAlign w:val="center"/>
                </w:tcPr>
                <w:p w14:paraId="59256AAE">
                  <w:pPr>
                    <w:keepNext w:val="0"/>
                    <w:keepLines w:val="0"/>
                    <w:pageBreakBefore w:val="0"/>
                    <w:widowControl w:val="0"/>
                    <w:kinsoku/>
                    <w:wordWrap/>
                    <w:overflowPunct/>
                    <w:topLinePunct w:val="0"/>
                    <w:autoSpaceDE/>
                    <w:autoSpaceDN/>
                    <w:bidi w:val="0"/>
                    <w:spacing w:line="240" w:lineRule="auto"/>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稳定性考核</w:t>
                  </w:r>
                </w:p>
                <w:p w14:paraId="4DB8FE9D">
                  <w:pPr>
                    <w:keepNext w:val="0"/>
                    <w:keepLines w:val="0"/>
                    <w:pageBreakBefore w:val="0"/>
                    <w:widowControl w:val="0"/>
                    <w:kinsoku/>
                    <w:wordWrap/>
                    <w:overflowPunct/>
                    <w:topLinePunct w:val="0"/>
                    <w:autoSpaceDE/>
                    <w:autoSpaceDN/>
                    <w:bidi w:val="0"/>
                    <w:spacing w:line="240" w:lineRule="auto"/>
                    <w:jc w:val="center"/>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（初始</w:t>
                  </w:r>
                  <w:r>
                    <w:rPr>
                      <w:rFonts w:hint="eastAsia" w:ascii="仿宋" w:hAnsi="仿宋" w:eastAsia="仿宋" w:cs="仿宋"/>
                      <w:b/>
                      <w:bCs/>
                      <w:sz w:val="21"/>
                      <w:szCs w:val="21"/>
                      <w:lang w:val="en-US" w:eastAsia="zh-CN"/>
                    </w:rPr>
                    <w:t>20</w:t>
                  </w:r>
                  <w:r>
                    <w:rPr>
                      <w:rFonts w:hint="eastAsia" w:ascii="仿宋" w:hAnsi="仿宋" w:eastAsia="仿宋" w:cs="仿宋"/>
                      <w:sz w:val="21"/>
                      <w:szCs w:val="21"/>
                      <w:lang w:val="en-US" w:eastAsia="zh-CN"/>
                    </w:rPr>
                    <w:t>分，扣完为止）</w:t>
                  </w:r>
                </w:p>
              </w:tc>
              <w:tc>
                <w:tcPr>
                  <w:tcW w:w="3439" w:type="dxa"/>
                  <w:shd w:val="clear" w:color="auto" w:fill="auto"/>
                  <w:vAlign w:val="center"/>
                </w:tcPr>
                <w:p w14:paraId="0E9C41B4">
                  <w:pPr>
                    <w:keepNext w:val="0"/>
                    <w:keepLines w:val="0"/>
                    <w:pageBreakBefore w:val="0"/>
                    <w:widowControl w:val="0"/>
                    <w:kinsoku/>
                    <w:wordWrap/>
                    <w:overflowPunct/>
                    <w:topLinePunct w:val="0"/>
                    <w:autoSpaceDE/>
                    <w:autoSpaceDN/>
                    <w:bidi w:val="0"/>
                    <w:spacing w:line="240" w:lineRule="auto"/>
                    <w:jc w:val="both"/>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发生数据缺漏或交互异常，发生严重影响</w:t>
                  </w:r>
                </w:p>
              </w:tc>
              <w:tc>
                <w:tcPr>
                  <w:tcW w:w="934" w:type="dxa"/>
                  <w:shd w:val="clear" w:color="auto" w:fill="auto"/>
                  <w:vAlign w:val="center"/>
                </w:tcPr>
                <w:p w14:paraId="5D3AB52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每次扣</w:t>
                  </w:r>
                </w:p>
                <w:p w14:paraId="19BF128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1"/>
                      <w:szCs w:val="21"/>
                    </w:rPr>
                  </w:pPr>
                  <w:r>
                    <w:rPr>
                      <w:rFonts w:hint="eastAsia" w:ascii="仿宋" w:hAnsi="仿宋" w:eastAsia="仿宋" w:cs="仿宋"/>
                      <w:b/>
                      <w:bCs/>
                      <w:sz w:val="21"/>
                      <w:szCs w:val="21"/>
                      <w:lang w:val="en-US" w:eastAsia="zh-CN"/>
                    </w:rPr>
                    <w:t>5</w:t>
                  </w:r>
                  <w:r>
                    <w:rPr>
                      <w:rFonts w:hint="eastAsia" w:ascii="仿宋" w:hAnsi="仿宋" w:eastAsia="仿宋" w:cs="仿宋"/>
                      <w:sz w:val="21"/>
                      <w:szCs w:val="21"/>
                    </w:rPr>
                    <w:t>分</w:t>
                  </w:r>
                </w:p>
              </w:tc>
            </w:tr>
            <w:tr w14:paraId="4D90C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522" w:type="dxa"/>
                  <w:vMerge w:val="continue"/>
                  <w:shd w:val="clear" w:color="auto" w:fill="auto"/>
                  <w:vAlign w:val="center"/>
                </w:tcPr>
                <w:p w14:paraId="45C03969">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sz w:val="21"/>
                      <w:szCs w:val="21"/>
                    </w:rPr>
                  </w:pPr>
                </w:p>
              </w:tc>
              <w:tc>
                <w:tcPr>
                  <w:tcW w:w="3439" w:type="dxa"/>
                  <w:shd w:val="clear" w:color="auto" w:fill="auto"/>
                  <w:vAlign w:val="center"/>
                </w:tcPr>
                <w:p w14:paraId="124FB4E3">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w w:val="99"/>
                      <w:sz w:val="21"/>
                      <w:szCs w:val="21"/>
                    </w:rPr>
                  </w:pPr>
                  <w:r>
                    <w:rPr>
                      <w:rFonts w:hint="eastAsia" w:ascii="仿宋" w:hAnsi="仿宋" w:eastAsia="仿宋" w:cs="仿宋"/>
                      <w:sz w:val="21"/>
                      <w:szCs w:val="21"/>
                      <w:lang w:val="en-US" w:eastAsia="zh-CN"/>
                    </w:rPr>
                    <w:t>发生数据缺漏或交互异常，发生重大影响</w:t>
                  </w:r>
                </w:p>
              </w:tc>
              <w:tc>
                <w:tcPr>
                  <w:tcW w:w="934" w:type="dxa"/>
                  <w:shd w:val="clear" w:color="auto" w:fill="auto"/>
                  <w:vAlign w:val="center"/>
                </w:tcPr>
                <w:p w14:paraId="7E9B837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每次扣</w:t>
                  </w:r>
                </w:p>
                <w:p w14:paraId="121D7AF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1"/>
                      <w:szCs w:val="21"/>
                    </w:rPr>
                  </w:pPr>
                  <w:r>
                    <w:rPr>
                      <w:rFonts w:hint="eastAsia" w:ascii="仿宋" w:hAnsi="仿宋" w:eastAsia="仿宋" w:cs="仿宋"/>
                      <w:b/>
                      <w:bCs/>
                      <w:sz w:val="21"/>
                      <w:szCs w:val="21"/>
                      <w:lang w:val="en-US" w:eastAsia="zh-CN"/>
                    </w:rPr>
                    <w:t>10</w:t>
                  </w:r>
                  <w:r>
                    <w:rPr>
                      <w:rFonts w:hint="eastAsia" w:ascii="仿宋" w:hAnsi="仿宋" w:eastAsia="仿宋" w:cs="仿宋"/>
                      <w:sz w:val="21"/>
                      <w:szCs w:val="21"/>
                    </w:rPr>
                    <w:t>分</w:t>
                  </w:r>
                </w:p>
              </w:tc>
            </w:tr>
          </w:tbl>
          <w:p w14:paraId="47314CC5">
            <w:pPr>
              <w:numPr>
                <w:ilvl w:val="0"/>
                <w:numId w:val="0"/>
              </w:numPr>
              <w:bidi w:val="0"/>
              <w:ind w:firstLine="420" w:firstLineChars="200"/>
              <w:jc w:val="left"/>
              <w:rPr>
                <w:rFonts w:hint="eastAsia" w:ascii="仿宋" w:hAnsi="仿宋" w:eastAsia="仿宋" w:cs="仿宋"/>
                <w:b w:val="0"/>
                <w:bCs w:val="0"/>
                <w:highlight w:val="none"/>
                <w:lang w:val="en-US" w:eastAsia="zh-CN"/>
              </w:rPr>
            </w:pPr>
            <w:r>
              <w:rPr>
                <w:rFonts w:hint="eastAsia" w:ascii="仿宋" w:hAnsi="仿宋" w:eastAsia="仿宋" w:cs="仿宋"/>
                <w:b w:val="0"/>
                <w:bCs w:val="0"/>
                <w:highlight w:val="none"/>
                <w:lang w:val="en-US" w:eastAsia="zh-CN"/>
              </w:rPr>
              <w:t>考核总分初始赋值100分，60分及以上为合格。考核表格包括但不限于以上内容，在实际运作中不断完善。</w:t>
            </w:r>
          </w:p>
          <w:p w14:paraId="2E9B7912">
            <w:pPr>
              <w:numPr>
                <w:ilvl w:val="0"/>
                <w:numId w:val="2"/>
              </w:numPr>
              <w:bidi w:val="0"/>
              <w:ind w:left="420" w:leftChars="0" w:hanging="420" w:firstLineChars="0"/>
              <w:jc w:val="left"/>
              <w:rPr>
                <w:rFonts w:hint="eastAsia" w:ascii="仿宋" w:hAnsi="仿宋" w:eastAsia="仿宋" w:cs="仿宋"/>
                <w:b w:val="0"/>
                <w:bCs w:val="0"/>
                <w:highlight w:val="none"/>
                <w:lang w:val="en-US" w:eastAsia="zh-CN"/>
              </w:rPr>
            </w:pPr>
            <w:r>
              <w:rPr>
                <w:rFonts w:hint="eastAsia" w:ascii="仿宋" w:hAnsi="仿宋" w:eastAsia="仿宋" w:cs="仿宋"/>
                <w:b w:val="0"/>
                <w:bCs w:val="0"/>
                <w:highlight w:val="none"/>
                <w:lang w:val="en-US" w:eastAsia="zh-CN"/>
              </w:rPr>
              <w:t>每半年考核分数在60到80分之间，将对数据上报服务团队负责人进行谈话，并责令整改，要求在下一个上报周期内整改完毕（不同上报项目依据各自的上报周期，一般为每天、每月。）</w:t>
            </w:r>
          </w:p>
          <w:p w14:paraId="618344C1">
            <w:pPr>
              <w:numPr>
                <w:ilvl w:val="0"/>
                <w:numId w:val="2"/>
              </w:numPr>
              <w:bidi w:val="0"/>
              <w:ind w:left="420" w:leftChars="0" w:hanging="420" w:firstLineChars="0"/>
              <w:jc w:val="left"/>
              <w:rPr>
                <w:rFonts w:hint="default" w:ascii="仿宋" w:hAnsi="仿宋" w:eastAsia="仿宋" w:cs="仿宋"/>
                <w:b w:val="0"/>
                <w:bCs w:val="0"/>
                <w:highlight w:val="none"/>
                <w:lang w:val="en-US" w:eastAsia="zh-CN"/>
              </w:rPr>
            </w:pPr>
            <w:r>
              <w:rPr>
                <w:rFonts w:hint="eastAsia" w:ascii="仿宋" w:hAnsi="仿宋" w:eastAsia="仿宋" w:cs="仿宋"/>
                <w:b w:val="0"/>
                <w:bCs w:val="0"/>
                <w:highlight w:val="none"/>
                <w:lang w:val="en-US" w:eastAsia="zh-CN"/>
              </w:rPr>
              <w:t>每半年考核分数≦60分，将要求更换服务人员，如无法更换符合要求的数据上报服务人员，甲方将终止合同，并拒付剩余合同款项。</w:t>
            </w:r>
          </w:p>
        </w:tc>
      </w:tr>
      <w:tr w14:paraId="66C18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noWrap w:val="0"/>
            <w:vAlign w:val="center"/>
          </w:tcPr>
          <w:p w14:paraId="28EA9988">
            <w:pPr>
              <w:keepNext w:val="0"/>
              <w:keepLines w:val="0"/>
              <w:pageBreakBefore w:val="0"/>
              <w:kinsoku/>
              <w:wordWrap/>
              <w:overflowPunct/>
              <w:topLinePunct w:val="0"/>
              <w:autoSpaceDE w:val="0"/>
              <w:autoSpaceDN w:val="0"/>
              <w:bidi w:val="0"/>
              <w:adjustRightInd w:val="0"/>
              <w:snapToGrid w:val="0"/>
              <w:spacing w:line="360" w:lineRule="auto"/>
              <w:jc w:val="center"/>
              <w:textAlignment w:val="auto"/>
              <w:rPr>
                <w:rFonts w:hint="eastAsia" w:ascii="仿宋" w:hAnsi="仿宋" w:eastAsia="仿宋" w:cs="仿宋"/>
                <w:snapToGrid w:val="0"/>
                <w:kern w:val="0"/>
                <w:sz w:val="21"/>
                <w:szCs w:val="21"/>
                <w:lang w:val="en-US" w:eastAsia="zh-CN"/>
              </w:rPr>
            </w:pPr>
            <w:r>
              <w:rPr>
                <w:rFonts w:hint="eastAsia" w:ascii="仿宋" w:hAnsi="仿宋" w:eastAsia="仿宋" w:cs="仿宋"/>
                <w:snapToGrid w:val="0"/>
                <w:kern w:val="0"/>
                <w:sz w:val="21"/>
                <w:szCs w:val="21"/>
                <w:lang w:val="en-US" w:eastAsia="zh-CN"/>
              </w:rPr>
              <w:t>5</w:t>
            </w:r>
          </w:p>
        </w:tc>
        <w:tc>
          <w:tcPr>
            <w:tcW w:w="1100" w:type="dxa"/>
            <w:noWrap w:val="0"/>
            <w:vAlign w:val="center"/>
          </w:tcPr>
          <w:p w14:paraId="687BF35B">
            <w:pPr>
              <w:numPr>
                <w:ilvl w:val="0"/>
                <w:numId w:val="0"/>
              </w:numPr>
              <w:bidi w:val="0"/>
              <w:jc w:val="left"/>
              <w:rPr>
                <w:rFonts w:hint="eastAsia" w:ascii="仿宋" w:hAnsi="仿宋" w:eastAsia="仿宋" w:cs="仿宋"/>
                <w:b w:val="0"/>
                <w:bCs w:val="0"/>
                <w:highlight w:val="none"/>
                <w:lang w:val="zh-CN" w:eastAsia="zh-CN"/>
              </w:rPr>
            </w:pPr>
            <w:r>
              <w:rPr>
                <w:rFonts w:hint="eastAsia" w:ascii="仿宋" w:hAnsi="仿宋" w:eastAsia="仿宋" w:cs="仿宋"/>
                <w:b w:val="0"/>
                <w:bCs w:val="0"/>
                <w:highlight w:val="none"/>
                <w:lang w:val="zh-CN" w:eastAsia="zh-CN"/>
              </w:rPr>
              <w:t>付款方式</w:t>
            </w:r>
          </w:p>
        </w:tc>
        <w:tc>
          <w:tcPr>
            <w:tcW w:w="6586" w:type="dxa"/>
            <w:noWrap w:val="0"/>
            <w:vAlign w:val="center"/>
          </w:tcPr>
          <w:p w14:paraId="10EAE59C">
            <w:pPr>
              <w:numPr>
                <w:ilvl w:val="0"/>
                <w:numId w:val="0"/>
              </w:numPr>
              <w:bidi w:val="0"/>
              <w:ind w:firstLine="420" w:firstLineChars="200"/>
              <w:jc w:val="left"/>
              <w:rPr>
                <w:rFonts w:hint="eastAsia" w:ascii="仿宋" w:hAnsi="仿宋" w:eastAsia="仿宋" w:cs="仿宋"/>
                <w:b w:val="0"/>
                <w:bCs w:val="0"/>
                <w:highlight w:val="none"/>
                <w:lang w:val="en-US" w:eastAsia="zh-CN"/>
              </w:rPr>
            </w:pPr>
            <w:r>
              <w:rPr>
                <w:rFonts w:hint="eastAsia" w:ascii="仿宋" w:hAnsi="仿宋" w:eastAsia="仿宋" w:cs="仿宋"/>
                <w:b w:val="0"/>
                <w:bCs w:val="0"/>
                <w:highlight w:val="none"/>
                <w:lang w:val="en-US" w:eastAsia="zh-CN"/>
              </w:rPr>
              <w:t>（1）自合同签署起，服务期满6个月，经考核合格</w:t>
            </w:r>
            <w:r>
              <w:rPr>
                <w:rFonts w:hint="eastAsia" w:ascii="仿宋" w:hAnsi="仿宋" w:eastAsia="仿宋" w:cs="仿宋"/>
                <w:b w:val="0"/>
                <w:bCs w:val="0"/>
                <w:sz w:val="24"/>
                <w:szCs w:val="32"/>
                <w:highlight w:val="none"/>
                <w:vertAlign w:val="superscript"/>
                <w:lang w:val="en-US" w:eastAsia="zh-CN"/>
              </w:rPr>
              <w:t>*</w:t>
            </w:r>
            <w:r>
              <w:rPr>
                <w:rFonts w:hint="eastAsia" w:ascii="仿宋" w:hAnsi="仿宋" w:eastAsia="仿宋" w:cs="仿宋"/>
                <w:b w:val="0"/>
                <w:bCs w:val="0"/>
                <w:highlight w:val="none"/>
                <w:lang w:val="en-US" w:eastAsia="zh-CN"/>
              </w:rPr>
              <w:t>后的3个月内，支付项目合同款的50%；</w:t>
            </w:r>
          </w:p>
          <w:p w14:paraId="2069C610">
            <w:pPr>
              <w:numPr>
                <w:ilvl w:val="0"/>
                <w:numId w:val="0"/>
              </w:numPr>
              <w:bidi w:val="0"/>
              <w:ind w:firstLine="420" w:firstLineChars="200"/>
              <w:jc w:val="left"/>
              <w:rPr>
                <w:rFonts w:hint="eastAsia" w:ascii="仿宋" w:hAnsi="仿宋" w:eastAsia="仿宋" w:cs="仿宋"/>
                <w:b w:val="0"/>
                <w:bCs w:val="0"/>
                <w:highlight w:val="none"/>
                <w:lang w:val="en-US" w:eastAsia="zh-CN"/>
              </w:rPr>
            </w:pPr>
            <w:r>
              <w:rPr>
                <w:rFonts w:hint="eastAsia" w:ascii="仿宋" w:hAnsi="仿宋" w:eastAsia="仿宋" w:cs="仿宋"/>
                <w:b w:val="0"/>
                <w:bCs w:val="0"/>
                <w:highlight w:val="none"/>
                <w:lang w:val="en-US" w:eastAsia="zh-CN"/>
              </w:rPr>
              <w:t>（2）自合同签署起，服务期满12个月，经考核合格</w:t>
            </w:r>
            <w:r>
              <w:rPr>
                <w:rFonts w:hint="eastAsia" w:ascii="仿宋" w:hAnsi="仿宋" w:eastAsia="仿宋" w:cs="仿宋"/>
                <w:b w:val="0"/>
                <w:bCs w:val="0"/>
                <w:sz w:val="24"/>
                <w:szCs w:val="32"/>
                <w:highlight w:val="none"/>
                <w:vertAlign w:val="superscript"/>
                <w:lang w:val="en-US" w:eastAsia="zh-CN"/>
              </w:rPr>
              <w:t>*</w:t>
            </w:r>
            <w:r>
              <w:rPr>
                <w:rFonts w:hint="eastAsia" w:ascii="仿宋" w:hAnsi="仿宋" w:eastAsia="仿宋" w:cs="仿宋"/>
                <w:b w:val="0"/>
                <w:bCs w:val="0"/>
                <w:highlight w:val="none"/>
                <w:lang w:val="en-US" w:eastAsia="zh-CN"/>
              </w:rPr>
              <w:t>后的3个月内，支付项目合同款的50%。</w:t>
            </w:r>
          </w:p>
          <w:p w14:paraId="2C5F17AE">
            <w:pPr>
              <w:numPr>
                <w:ilvl w:val="0"/>
                <w:numId w:val="0"/>
              </w:numPr>
              <w:bidi w:val="0"/>
              <w:ind w:firstLine="420" w:firstLineChars="200"/>
              <w:jc w:val="left"/>
              <w:rPr>
                <w:rFonts w:hint="eastAsia" w:ascii="仿宋" w:hAnsi="仿宋" w:eastAsia="仿宋" w:cs="仿宋"/>
                <w:b w:val="0"/>
                <w:bCs w:val="0"/>
                <w:highlight w:val="none"/>
                <w:lang w:val="en-US" w:eastAsia="zh-CN"/>
              </w:rPr>
            </w:pPr>
            <w:r>
              <w:rPr>
                <w:rFonts w:hint="eastAsia" w:ascii="仿宋" w:hAnsi="仿宋" w:eastAsia="仿宋" w:cs="仿宋"/>
                <w:b w:val="0"/>
                <w:bCs w:val="0"/>
                <w:highlight w:val="none"/>
                <w:lang w:val="en-US" w:eastAsia="zh-CN"/>
              </w:rPr>
              <w:t>*考核合格说明：依据每半年开展的考核结果，总分初始赋值100分，60分及以上为合格。</w:t>
            </w:r>
          </w:p>
        </w:tc>
      </w:tr>
    </w:tbl>
    <w:p w14:paraId="635AE00E">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jc w:val="both"/>
        <w:textAlignment w:val="auto"/>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六、特定资格条件</w:t>
      </w:r>
    </w:p>
    <w:p w14:paraId="7F3C8FDB">
      <w:pPr>
        <w:keepNext w:val="0"/>
        <w:keepLines w:val="0"/>
        <w:pageBreakBefore w:val="0"/>
        <w:kinsoku/>
        <w:wordWrap/>
        <w:overflowPunct/>
        <w:topLinePunct w:val="0"/>
        <w:bidi w:val="0"/>
        <w:spacing w:line="360" w:lineRule="auto"/>
        <w:ind w:firstLine="495"/>
        <w:jc w:val="left"/>
        <w:textAlignment w:val="auto"/>
        <w:rPr>
          <w:rFonts w:hint="eastAsia" w:ascii="仿宋" w:hAnsi="仿宋" w:eastAsia="仿宋" w:cs="仿宋"/>
          <w:sz w:val="24"/>
          <w:szCs w:val="24"/>
        </w:rPr>
      </w:pPr>
      <w:r>
        <w:rPr>
          <w:rFonts w:hint="eastAsia" w:ascii="仿宋" w:hAnsi="仿宋" w:eastAsia="仿宋" w:cs="仿宋"/>
          <w:sz w:val="24"/>
          <w:szCs w:val="24"/>
        </w:rPr>
        <w:t>除《中华人民共和国政府采购法》第二十二条规定的供应商应具备的条件外，采购人可以根据采购项目的特殊要求，规定供应商的特定资格条件，如国家或行业强制性标准等。但不得以不合理的条件对供应商实行差别待遇或者歧视待遇。</w:t>
      </w:r>
    </w:p>
    <w:p w14:paraId="411FE723">
      <w:pPr>
        <w:keepNext w:val="0"/>
        <w:keepLines w:val="0"/>
        <w:pageBreakBefore w:val="0"/>
        <w:kinsoku/>
        <w:wordWrap/>
        <w:overflowPunct/>
        <w:topLinePunct w:val="0"/>
        <w:bidi w:val="0"/>
        <w:spacing w:line="360" w:lineRule="auto"/>
        <w:ind w:right="600" w:firstLine="4200" w:firstLineChars="1750"/>
        <w:textAlignment w:val="auto"/>
        <w:rPr>
          <w:rFonts w:hint="eastAsia" w:ascii="仿宋" w:hAnsi="仿宋" w:eastAsia="仿宋" w:cs="仿宋"/>
          <w:sz w:val="24"/>
          <w:szCs w:val="24"/>
        </w:rPr>
      </w:pPr>
      <w:r>
        <w:rPr>
          <w:rFonts w:hint="eastAsia" w:ascii="仿宋" w:hAnsi="仿宋" w:eastAsia="仿宋" w:cs="仿宋"/>
          <w:sz w:val="24"/>
          <w:szCs w:val="24"/>
        </w:rPr>
        <w:t>申购单位（公章）：</w:t>
      </w:r>
    </w:p>
    <w:p w14:paraId="153F3791">
      <w:pPr>
        <w:keepNext w:val="0"/>
        <w:keepLines w:val="0"/>
        <w:pageBreakBefore w:val="0"/>
        <w:kinsoku/>
        <w:wordWrap/>
        <w:overflowPunct/>
        <w:topLinePunct w:val="0"/>
        <w:bidi w:val="0"/>
        <w:spacing w:line="360" w:lineRule="auto"/>
        <w:ind w:right="600"/>
        <w:jc w:val="center"/>
        <w:textAlignment w:val="auto"/>
        <w:rPr>
          <w:rFonts w:hint="eastAsia" w:ascii="仿宋" w:hAnsi="仿宋" w:eastAsia="仿宋" w:cs="仿宋"/>
          <w:sz w:val="24"/>
          <w:szCs w:val="24"/>
        </w:rPr>
      </w:pPr>
      <w:r>
        <w:rPr>
          <w:rFonts w:hint="eastAsia" w:ascii="仿宋" w:hAnsi="仿宋" w:eastAsia="仿宋" w:cs="仿宋"/>
          <w:sz w:val="24"/>
          <w:szCs w:val="24"/>
        </w:rPr>
        <w:t xml:space="preserve">                    或项目负责人（签字）：</w:t>
      </w:r>
    </w:p>
    <w:p w14:paraId="0A97CEFC">
      <w:pPr>
        <w:keepNext w:val="0"/>
        <w:keepLines w:val="0"/>
        <w:pageBreakBefore w:val="0"/>
        <w:kinsoku/>
        <w:wordWrap w:val="0"/>
        <w:overflowPunct/>
        <w:topLinePunct w:val="0"/>
        <w:bidi w:val="0"/>
        <w:spacing w:line="360" w:lineRule="auto"/>
        <w:ind w:firstLine="495"/>
        <w:jc w:val="right"/>
        <w:textAlignment w:val="auto"/>
        <w:rPr>
          <w:rFonts w:hint="default" w:ascii="仿宋" w:hAnsi="仿宋" w:eastAsia="仿宋" w:cs="仿宋"/>
          <w:sz w:val="24"/>
          <w:szCs w:val="24"/>
          <w:lang w:val="en-US" w:eastAsia="zh-CN"/>
        </w:rPr>
      </w:pP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sectPr>
      <w:footerReference r:id="rId3" w:type="default"/>
      <w:pgSz w:w="11906" w:h="16838"/>
      <w:pgMar w:top="1440" w:right="1800" w:bottom="1440" w:left="1800"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F4536">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AB0206">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9AB0206">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0D18B4"/>
    <w:multiLevelType w:val="singleLevel"/>
    <w:tmpl w:val="890D18B4"/>
    <w:lvl w:ilvl="0" w:tentative="0">
      <w:start w:val="1"/>
      <w:numFmt w:val="bullet"/>
      <w:lvlText w:val=""/>
      <w:lvlJc w:val="left"/>
      <w:pPr>
        <w:ind w:left="420" w:hanging="420"/>
      </w:pPr>
      <w:rPr>
        <w:rFonts w:hint="default" w:ascii="Wingdings" w:hAnsi="Wingdings"/>
      </w:rPr>
    </w:lvl>
  </w:abstractNum>
  <w:abstractNum w:abstractNumId="1">
    <w:nsid w:val="F1977ED7"/>
    <w:multiLevelType w:val="multilevel"/>
    <w:tmpl w:val="F1977ED7"/>
    <w:lvl w:ilvl="0" w:tentative="0">
      <w:start w:val="1"/>
      <w:numFmt w:val="decimal"/>
      <w:lvlText w:val="%1."/>
      <w:lvlJc w:val="left"/>
      <w:pPr>
        <w:ind w:left="432" w:hanging="432"/>
      </w:pPr>
      <w:rPr>
        <w:rFonts w:hint="default"/>
      </w:rPr>
    </w:lvl>
    <w:lvl w:ilvl="1" w:tentative="0">
      <w:start w:val="1"/>
      <w:numFmt w:val="decimal"/>
      <w:pStyle w:val="6"/>
      <w:lvlText w:val="%1.%2."/>
      <w:lvlJc w:val="left"/>
      <w:pPr>
        <w:ind w:left="575" w:hanging="575"/>
      </w:pPr>
      <w:rPr>
        <w:rFonts w:hint="default"/>
      </w:rPr>
    </w:lvl>
    <w:lvl w:ilvl="2" w:tentative="0">
      <w:start w:val="1"/>
      <w:numFmt w:val="decimal"/>
      <w:pStyle w:val="7"/>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4NmYyNjc5NTM1MTZlNzQ3NjMzNjY4ZDg3NmMyOWMifQ=="/>
  </w:docVars>
  <w:rsids>
    <w:rsidRoot w:val="6DB950BC"/>
    <w:rsid w:val="003C1CF8"/>
    <w:rsid w:val="05AC5B0F"/>
    <w:rsid w:val="06096508"/>
    <w:rsid w:val="060E3F52"/>
    <w:rsid w:val="070957CD"/>
    <w:rsid w:val="0D8133B0"/>
    <w:rsid w:val="0D9E004B"/>
    <w:rsid w:val="0E183BD7"/>
    <w:rsid w:val="0E567B2C"/>
    <w:rsid w:val="0F487CDE"/>
    <w:rsid w:val="127F6619"/>
    <w:rsid w:val="1332329B"/>
    <w:rsid w:val="14294079"/>
    <w:rsid w:val="14822724"/>
    <w:rsid w:val="16832098"/>
    <w:rsid w:val="1876442F"/>
    <w:rsid w:val="1AB73948"/>
    <w:rsid w:val="1C953FDB"/>
    <w:rsid w:val="1EE371AA"/>
    <w:rsid w:val="1F555EA3"/>
    <w:rsid w:val="2197751D"/>
    <w:rsid w:val="236B0C61"/>
    <w:rsid w:val="24D33D4B"/>
    <w:rsid w:val="25610849"/>
    <w:rsid w:val="263179F2"/>
    <w:rsid w:val="279B3177"/>
    <w:rsid w:val="28AD179D"/>
    <w:rsid w:val="28C376C2"/>
    <w:rsid w:val="299327C4"/>
    <w:rsid w:val="2A883936"/>
    <w:rsid w:val="2B4D3342"/>
    <w:rsid w:val="2C3C68DF"/>
    <w:rsid w:val="2CD62BA8"/>
    <w:rsid w:val="2E0B0E2F"/>
    <w:rsid w:val="2EE708ED"/>
    <w:rsid w:val="2F794967"/>
    <w:rsid w:val="32B331B4"/>
    <w:rsid w:val="32E128E0"/>
    <w:rsid w:val="331035D3"/>
    <w:rsid w:val="34BE62A5"/>
    <w:rsid w:val="360A4309"/>
    <w:rsid w:val="364F50F5"/>
    <w:rsid w:val="37D42945"/>
    <w:rsid w:val="380729ED"/>
    <w:rsid w:val="38F23C2C"/>
    <w:rsid w:val="3A2E44E7"/>
    <w:rsid w:val="3A3E0AF5"/>
    <w:rsid w:val="3D1617E6"/>
    <w:rsid w:val="3D3D49B8"/>
    <w:rsid w:val="41323177"/>
    <w:rsid w:val="42721393"/>
    <w:rsid w:val="42AB0C22"/>
    <w:rsid w:val="43980754"/>
    <w:rsid w:val="44206535"/>
    <w:rsid w:val="4A9B42A2"/>
    <w:rsid w:val="4DC66AD1"/>
    <w:rsid w:val="4E1111C1"/>
    <w:rsid w:val="4E34692E"/>
    <w:rsid w:val="4F8545A9"/>
    <w:rsid w:val="50692184"/>
    <w:rsid w:val="526602D5"/>
    <w:rsid w:val="545509EE"/>
    <w:rsid w:val="54770964"/>
    <w:rsid w:val="55567D78"/>
    <w:rsid w:val="55B55BE8"/>
    <w:rsid w:val="56A65D71"/>
    <w:rsid w:val="570861EB"/>
    <w:rsid w:val="579B0E0D"/>
    <w:rsid w:val="57AF1A9D"/>
    <w:rsid w:val="57E55674"/>
    <w:rsid w:val="59DD4AE3"/>
    <w:rsid w:val="5B135943"/>
    <w:rsid w:val="5BB71F8E"/>
    <w:rsid w:val="5BEA20C9"/>
    <w:rsid w:val="5CAB4548"/>
    <w:rsid w:val="5D3A560B"/>
    <w:rsid w:val="637A7968"/>
    <w:rsid w:val="69281EAE"/>
    <w:rsid w:val="69F66A8B"/>
    <w:rsid w:val="6AF87914"/>
    <w:rsid w:val="6DB950BC"/>
    <w:rsid w:val="70447E3C"/>
    <w:rsid w:val="71A172F2"/>
    <w:rsid w:val="72404633"/>
    <w:rsid w:val="730877FF"/>
    <w:rsid w:val="75B03A87"/>
    <w:rsid w:val="75EB0D5A"/>
    <w:rsid w:val="764B2645"/>
    <w:rsid w:val="772A140E"/>
    <w:rsid w:val="772E2DCB"/>
    <w:rsid w:val="7A6D2811"/>
    <w:rsid w:val="7A84129E"/>
    <w:rsid w:val="7C153ECA"/>
    <w:rsid w:val="7C1D4A98"/>
    <w:rsid w:val="7C223CC8"/>
    <w:rsid w:val="7C55517F"/>
    <w:rsid w:val="7E81225C"/>
    <w:rsid w:val="7FFA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2"/>
    <w:basedOn w:val="1"/>
    <w:next w:val="1"/>
    <w:unhideWhenUsed/>
    <w:qFormat/>
    <w:uiPriority w:val="0"/>
    <w:pPr>
      <w:keepNext/>
      <w:keepLines/>
      <w:numPr>
        <w:ilvl w:val="1"/>
        <w:numId w:val="1"/>
      </w:numPr>
      <w:spacing w:beforeLines="0" w:beforeAutospacing="0" w:afterLines="0" w:afterAutospacing="0" w:line="360" w:lineRule="auto"/>
      <w:ind w:left="575" w:hanging="575" w:firstLineChars="0"/>
      <w:outlineLvl w:val="1"/>
    </w:pPr>
    <w:rPr>
      <w:rFonts w:ascii="Arial" w:hAnsi="Arial" w:eastAsia="仿宋"/>
      <w:b/>
      <w:sz w:val="36"/>
    </w:rPr>
  </w:style>
  <w:style w:type="paragraph" w:styleId="7">
    <w:name w:val="heading 3"/>
    <w:basedOn w:val="1"/>
    <w:next w:val="1"/>
    <w:unhideWhenUsed/>
    <w:qFormat/>
    <w:uiPriority w:val="0"/>
    <w:pPr>
      <w:keepNext/>
      <w:keepLines/>
      <w:numPr>
        <w:ilvl w:val="2"/>
        <w:numId w:val="1"/>
      </w:numPr>
      <w:spacing w:beforeLines="0" w:beforeAutospacing="0" w:afterLines="0" w:afterAutospacing="0" w:line="360" w:lineRule="auto"/>
      <w:ind w:left="720" w:hanging="720" w:firstLineChars="0"/>
      <w:outlineLvl w:val="2"/>
    </w:pPr>
    <w:rPr>
      <w:b/>
      <w:sz w:val="32"/>
    </w:rPr>
  </w:style>
  <w:style w:type="paragraph" w:styleId="8">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9">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unhideWhenUsed/>
    <w:qFormat/>
    <w:uiPriority w:val="0"/>
  </w:style>
  <w:style w:type="paragraph" w:styleId="3">
    <w:name w:val="Body Text Indent"/>
    <w:basedOn w:val="1"/>
    <w:next w:val="4"/>
    <w:qFormat/>
    <w:uiPriority w:val="0"/>
    <w:pPr>
      <w:ind w:left="420" w:leftChars="200" w:firstLine="420" w:firstLineChars="200"/>
    </w:pPr>
  </w:style>
  <w:style w:type="paragraph" w:styleId="4">
    <w:name w:val="envelope return"/>
    <w:basedOn w:val="1"/>
    <w:qFormat/>
    <w:uiPriority w:val="0"/>
    <w:pPr>
      <w:snapToGrid w:val="0"/>
    </w:pPr>
    <w:rPr>
      <w:rFonts w:ascii="Arial" w:hAnsi="Arial"/>
    </w:rPr>
  </w:style>
  <w:style w:type="paragraph" w:styleId="5">
    <w:name w:val="List"/>
    <w:basedOn w:val="1"/>
    <w:qFormat/>
    <w:uiPriority w:val="0"/>
    <w:pPr>
      <w:ind w:left="200" w:hanging="200" w:hangingChars="200"/>
    </w:pPr>
  </w:style>
  <w:style w:type="paragraph" w:styleId="10">
    <w:name w:val="Normal Indent"/>
    <w:basedOn w:val="1"/>
    <w:qFormat/>
    <w:uiPriority w:val="0"/>
    <w:pPr>
      <w:ind w:firstLine="420"/>
    </w:pPr>
  </w:style>
  <w:style w:type="paragraph" w:styleId="11">
    <w:name w:val="annotation text"/>
    <w:basedOn w:val="1"/>
    <w:qFormat/>
    <w:uiPriority w:val="0"/>
    <w:pPr>
      <w:jc w:val="left"/>
    </w:pPr>
  </w:style>
  <w:style w:type="paragraph" w:styleId="12">
    <w:name w:val="Body Text"/>
    <w:basedOn w:val="1"/>
    <w:next w:val="1"/>
    <w:qFormat/>
    <w:uiPriority w:val="0"/>
    <w:pPr>
      <w:tabs>
        <w:tab w:val="left" w:pos="0"/>
      </w:tabs>
      <w:spacing w:after="120" w:afterLines="0" w:afterAutospacing="0"/>
    </w:pPr>
  </w:style>
  <w:style w:type="paragraph" w:styleId="13">
    <w:name w:val="index 4"/>
    <w:basedOn w:val="1"/>
    <w:next w:val="1"/>
    <w:qFormat/>
    <w:uiPriority w:val="0"/>
    <w:pPr>
      <w:widowControl w:val="0"/>
      <w:ind w:left="600" w:leftChars="600"/>
      <w:textAlignment w:val="auto"/>
    </w:pPr>
    <w:rPr>
      <w:rFonts w:ascii="Times New Roman" w:hAnsi="Times New Roman"/>
      <w:szCs w:val="24"/>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Body Text First Indent"/>
    <w:basedOn w:val="12"/>
    <w:unhideWhenUsed/>
    <w:qFormat/>
    <w:uiPriority w:val="99"/>
    <w:pPr>
      <w:autoSpaceDE/>
      <w:autoSpaceDN/>
      <w:spacing w:after="120"/>
      <w:ind w:left="0" w:firstLine="420" w:firstLineChars="100"/>
      <w:jc w:val="both"/>
    </w:pPr>
    <w:rPr>
      <w:rFonts w:asciiTheme="minorHAnsi" w:hAnsiTheme="minorHAnsi" w:eastAsiaTheme="minorEastAsia" w:cstheme="minorBidi"/>
      <w:kern w:val="2"/>
      <w:sz w:val="21"/>
      <w:szCs w:val="22"/>
      <w:lang w:val="en-US" w:bidi="ar-SA"/>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Emphasis"/>
    <w:basedOn w:val="19"/>
    <w:qFormat/>
    <w:uiPriority w:val="0"/>
    <w:rPr>
      <w:i/>
    </w:rPr>
  </w:style>
  <w:style w:type="paragraph" w:styleId="2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7807</Words>
  <Characters>8097</Characters>
  <Lines>0</Lines>
  <Paragraphs>0</Paragraphs>
  <TotalTime>19</TotalTime>
  <ScaleCrop>false</ScaleCrop>
  <LinksUpToDate>false</LinksUpToDate>
  <CharactersWithSpaces>8156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2022-04-20T00:51:00Z</dcterms:created>
  <dc:creator>Anna</dc:creator>
  <cp:lastModifiedBy>Anna</cp:lastModifiedBy>
  <cp:lastPrinted>2026-03-19T03:27:28Z</cp:lastPrinted>
  <dcterms:modified xsi:type="dcterms:W3CDTF">2026-03-19T03:32:56Z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7917831225FF4213A60A235AFFDE8FE2_13</vt:lpwstr>
  </property>
</Properties>
</file>