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配电房更换挡鼠板及安装接水盘</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配电房更换挡鼠板及安装接水盘</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由于门诊配电房改造后挡鼠板破损，按电力行业规范要求，需更换不锈钢挡鼠板。此外，外科楼配电房高压室顶面有时突发漏水，设备上方安装积水盘以防顶面突然漏水。联系人勘察现场或自行勘察现场。</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49000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ED0FCE">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1E9292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1"/>
        <w:gridCol w:w="1527"/>
        <w:gridCol w:w="3812"/>
        <w:gridCol w:w="813"/>
        <w:gridCol w:w="975"/>
        <w:gridCol w:w="566"/>
        <w:gridCol w:w="438"/>
      </w:tblGrid>
      <w:tr w14:paraId="4AC1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9F94">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门诊地下室不锈钢挡鼠板</w:t>
            </w:r>
          </w:p>
        </w:tc>
      </w:tr>
      <w:tr w14:paraId="46B3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9" w:type="pct"/>
            <w:vMerge w:val="restart"/>
            <w:tcBorders>
              <w:top w:val="single" w:color="000000" w:sz="4" w:space="0"/>
              <w:left w:val="single" w:color="000000" w:sz="4" w:space="0"/>
              <w:bottom w:val="nil"/>
              <w:right w:val="single" w:color="000000" w:sz="4" w:space="0"/>
            </w:tcBorders>
            <w:shd w:val="clear" w:color="auto" w:fill="auto"/>
            <w:noWrap/>
            <w:vAlign w:val="center"/>
          </w:tcPr>
          <w:p w14:paraId="7D3178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95" w:type="pct"/>
            <w:vMerge w:val="restart"/>
            <w:tcBorders>
              <w:top w:val="single" w:color="000000" w:sz="4" w:space="0"/>
              <w:left w:val="single" w:color="000000" w:sz="4" w:space="0"/>
              <w:bottom w:val="nil"/>
              <w:right w:val="single" w:color="000000" w:sz="4" w:space="0"/>
            </w:tcBorders>
            <w:shd w:val="clear" w:color="auto" w:fill="auto"/>
            <w:noWrap/>
            <w:vAlign w:val="center"/>
          </w:tcPr>
          <w:p w14:paraId="23BB23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236" w:type="pct"/>
            <w:vMerge w:val="restart"/>
            <w:tcBorders>
              <w:top w:val="single" w:color="000000" w:sz="4" w:space="0"/>
              <w:left w:val="single" w:color="000000" w:sz="4" w:space="0"/>
              <w:bottom w:val="nil"/>
              <w:right w:val="single" w:color="000000" w:sz="4" w:space="0"/>
            </w:tcBorders>
            <w:shd w:val="clear" w:color="auto" w:fill="auto"/>
            <w:noWrap/>
            <w:vAlign w:val="center"/>
          </w:tcPr>
          <w:p w14:paraId="1687C4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477" w:type="pct"/>
            <w:vMerge w:val="restart"/>
            <w:tcBorders>
              <w:top w:val="single" w:color="000000" w:sz="4" w:space="0"/>
              <w:left w:val="single" w:color="000000" w:sz="4" w:space="0"/>
              <w:bottom w:val="nil"/>
              <w:right w:val="single" w:color="000000" w:sz="4" w:space="0"/>
            </w:tcBorders>
            <w:shd w:val="clear" w:color="auto" w:fill="auto"/>
            <w:vAlign w:val="center"/>
          </w:tcPr>
          <w:p w14:paraId="417FB6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单位</w:t>
            </w:r>
          </w:p>
        </w:tc>
        <w:tc>
          <w:tcPr>
            <w:tcW w:w="572" w:type="pct"/>
            <w:vMerge w:val="restart"/>
            <w:tcBorders>
              <w:top w:val="single" w:color="000000" w:sz="4" w:space="0"/>
              <w:left w:val="single" w:color="000000" w:sz="4" w:space="0"/>
              <w:bottom w:val="nil"/>
              <w:right w:val="single" w:color="000000" w:sz="4" w:space="0"/>
            </w:tcBorders>
            <w:shd w:val="clear" w:color="auto" w:fill="auto"/>
            <w:noWrap/>
            <w:vAlign w:val="center"/>
          </w:tcPr>
          <w:p w14:paraId="6EAA0C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B6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14:paraId="763A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22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9BF6CD0">
            <w:pPr>
              <w:jc w:val="center"/>
              <w:rPr>
                <w:rFonts w:hint="eastAsia" w:ascii="仿宋" w:hAnsi="仿宋" w:eastAsia="仿宋" w:cs="仿宋"/>
                <w:i w:val="0"/>
                <w:iCs w:val="0"/>
                <w:color w:val="000000"/>
                <w:sz w:val="24"/>
                <w:szCs w:val="24"/>
                <w:u w:val="none"/>
              </w:rPr>
            </w:pPr>
          </w:p>
        </w:tc>
        <w:tc>
          <w:tcPr>
            <w:tcW w:w="89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131EB19">
            <w:pPr>
              <w:jc w:val="center"/>
              <w:rPr>
                <w:rFonts w:hint="eastAsia" w:ascii="仿宋" w:hAnsi="仿宋" w:eastAsia="仿宋" w:cs="仿宋"/>
                <w:i w:val="0"/>
                <w:iCs w:val="0"/>
                <w:color w:val="000000"/>
                <w:sz w:val="24"/>
                <w:szCs w:val="24"/>
                <w:u w:val="none"/>
              </w:rPr>
            </w:pPr>
          </w:p>
        </w:tc>
        <w:tc>
          <w:tcPr>
            <w:tcW w:w="2236"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F9F43E7">
            <w:pPr>
              <w:jc w:val="center"/>
              <w:rPr>
                <w:rFonts w:hint="eastAsia" w:ascii="仿宋" w:hAnsi="仿宋" w:eastAsia="仿宋" w:cs="仿宋"/>
                <w:i w:val="0"/>
                <w:iCs w:val="0"/>
                <w:color w:val="000000"/>
                <w:sz w:val="24"/>
                <w:szCs w:val="24"/>
                <w:u w:val="none"/>
              </w:rPr>
            </w:pPr>
          </w:p>
        </w:tc>
        <w:tc>
          <w:tcPr>
            <w:tcW w:w="477" w:type="pct"/>
            <w:vMerge w:val="continue"/>
            <w:tcBorders>
              <w:top w:val="single" w:color="000000" w:sz="4" w:space="0"/>
              <w:left w:val="single" w:color="000000" w:sz="4" w:space="0"/>
              <w:bottom w:val="nil"/>
              <w:right w:val="single" w:color="000000" w:sz="4" w:space="0"/>
            </w:tcBorders>
            <w:shd w:val="clear" w:color="auto" w:fill="auto"/>
            <w:vAlign w:val="center"/>
          </w:tcPr>
          <w:p w14:paraId="1CB74D17">
            <w:pPr>
              <w:jc w:val="center"/>
              <w:rPr>
                <w:rFonts w:hint="eastAsia" w:ascii="仿宋" w:hAnsi="仿宋" w:eastAsia="仿宋" w:cs="仿宋"/>
                <w:i w:val="0"/>
                <w:iCs w:val="0"/>
                <w:color w:val="000000"/>
                <w:sz w:val="24"/>
                <w:szCs w:val="24"/>
                <w:u w:val="none"/>
              </w:rPr>
            </w:pPr>
          </w:p>
        </w:tc>
        <w:tc>
          <w:tcPr>
            <w:tcW w:w="57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BC3F8AF">
            <w:pPr>
              <w:jc w:val="center"/>
              <w:rPr>
                <w:rFonts w:hint="eastAsia" w:ascii="仿宋" w:hAnsi="仿宋" w:eastAsia="仿宋" w:cs="仿宋"/>
                <w:i w:val="0"/>
                <w:iCs w:val="0"/>
                <w:color w:val="000000"/>
                <w:sz w:val="24"/>
                <w:szCs w:val="24"/>
                <w:u w:val="none"/>
              </w:rPr>
            </w:pPr>
          </w:p>
        </w:tc>
        <w:tc>
          <w:tcPr>
            <w:tcW w:w="332" w:type="pct"/>
            <w:tcBorders>
              <w:top w:val="single" w:color="000000" w:sz="4" w:space="0"/>
              <w:left w:val="single" w:color="000000" w:sz="4" w:space="0"/>
              <w:bottom w:val="nil"/>
              <w:right w:val="single" w:color="000000" w:sz="4" w:space="0"/>
            </w:tcBorders>
            <w:shd w:val="clear" w:color="auto" w:fill="auto"/>
            <w:vAlign w:val="center"/>
          </w:tcPr>
          <w:p w14:paraId="6D0158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单价</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76118D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r>
      <w:tr w14:paraId="7D31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25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5F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方管框架</w:t>
            </w:r>
          </w:p>
        </w:tc>
        <w:tc>
          <w:tcPr>
            <w:tcW w:w="2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07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1、名称：304不锈钢方管框架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2、材料规格：25×25×1.0mm 304不锈钢方管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3、尺寸：长1800mm×宽500mm+长1500mm×宽500mm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4、工艺：数控切割下料、满焊连接、焊缝抛光钝化处理</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84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9E9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F0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DA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348C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E9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37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封面板</w:t>
            </w:r>
          </w:p>
        </w:tc>
        <w:tc>
          <w:tcPr>
            <w:tcW w:w="2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24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1、名称：304不锈钢封面板（双面）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2、材料规格：1.0mm厚304不锈钢板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3、尺寸：长1800mm×宽500mm+长1500mm×宽500mm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4、工艺：精密切割、边缘倒角打磨、与方管框架点焊固定</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70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04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21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2B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4608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2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D3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人工费、辅材</w:t>
            </w:r>
          </w:p>
        </w:tc>
        <w:tc>
          <w:tcPr>
            <w:tcW w:w="2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89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1、工作内容：现场定位放线、框架组装、封面板焊接固定、辅材安装、焊缝刷漆抛光</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EF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91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0F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3D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11E7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792F">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b/>
                <w:bCs/>
                <w:i w:val="0"/>
                <w:iCs w:val="0"/>
                <w:color w:val="000000"/>
                <w:kern w:val="0"/>
                <w:sz w:val="32"/>
                <w:szCs w:val="32"/>
                <w:u w:val="none"/>
                <w:lang w:val="en-US" w:eastAsia="zh-CN" w:bidi="ar"/>
              </w:rPr>
              <w:t>外科楼配电房</w:t>
            </w:r>
            <w:bookmarkStart w:id="0" w:name="_GoBack"/>
            <w:bookmarkEnd w:id="0"/>
            <w:r>
              <w:rPr>
                <w:rFonts w:hint="eastAsia" w:ascii="仿宋" w:hAnsi="仿宋" w:eastAsia="仿宋" w:cs="仿宋"/>
                <w:b/>
                <w:bCs/>
                <w:i w:val="0"/>
                <w:iCs w:val="0"/>
                <w:color w:val="000000"/>
                <w:kern w:val="0"/>
                <w:sz w:val="32"/>
                <w:szCs w:val="32"/>
                <w:u w:val="none"/>
                <w:lang w:val="en-US" w:eastAsia="zh-CN" w:bidi="ar"/>
              </w:rPr>
              <w:t>高压电柜安装接水盘</w:t>
            </w:r>
          </w:p>
        </w:tc>
      </w:tr>
      <w:tr w14:paraId="4089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230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E6B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角铁支架</w:t>
            </w:r>
          </w:p>
        </w:tc>
        <w:tc>
          <w:tcPr>
            <w:tcW w:w="2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8A8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1.4号角铁4米焊接支架膨胀螺丝顶面打孔安装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49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711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53D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06B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r>
      <w:tr w14:paraId="77E0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89AF">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B77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不锈钢</w:t>
            </w:r>
          </w:p>
        </w:tc>
        <w:tc>
          <w:tcPr>
            <w:tcW w:w="2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2C6C">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1.1.0 不锈钢制作接水盘93平方                2.1.0不锈钢制作接水盘9平方                                                     3.1.0不锈钢制作淌水槽3米2.8</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F1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平方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202B">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104.8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2EEA">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772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r>
      <w:tr w14:paraId="2EA8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A3A">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484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落水管</w:t>
            </w:r>
          </w:p>
        </w:tc>
        <w:tc>
          <w:tcPr>
            <w:tcW w:w="2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66B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50PVC水管墙面支架安装</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44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3AD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E3F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701F">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r>
      <w:tr w14:paraId="7C63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84E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932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五金配件</w:t>
            </w:r>
          </w:p>
        </w:tc>
        <w:tc>
          <w:tcPr>
            <w:tcW w:w="2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590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膨胀螺丝.结构胶.安装支架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70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356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4C8A">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239C">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r>
      <w:tr w14:paraId="6809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73A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A79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垃圾外运</w:t>
            </w:r>
          </w:p>
        </w:tc>
        <w:tc>
          <w:tcPr>
            <w:tcW w:w="2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41EA">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1.拆除物清理、外运出院区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E9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2E7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70AB">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46E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r>
    </w:tbl>
    <w:p w14:paraId="0210B4A6">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628C9"/>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576CF"/>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D90444"/>
    <w:rsid w:val="043973B6"/>
    <w:rsid w:val="04F401B3"/>
    <w:rsid w:val="05456992"/>
    <w:rsid w:val="056C0631"/>
    <w:rsid w:val="06543448"/>
    <w:rsid w:val="06AB172E"/>
    <w:rsid w:val="07604706"/>
    <w:rsid w:val="07830C87"/>
    <w:rsid w:val="07931220"/>
    <w:rsid w:val="08154A6C"/>
    <w:rsid w:val="09907758"/>
    <w:rsid w:val="0A0674FF"/>
    <w:rsid w:val="0AA448CB"/>
    <w:rsid w:val="0AC66F00"/>
    <w:rsid w:val="0B6435BB"/>
    <w:rsid w:val="0B860EB1"/>
    <w:rsid w:val="0C6D4563"/>
    <w:rsid w:val="0CF84031"/>
    <w:rsid w:val="0E282CE3"/>
    <w:rsid w:val="0E47210D"/>
    <w:rsid w:val="0F2F252F"/>
    <w:rsid w:val="0F8E6586"/>
    <w:rsid w:val="0FB32534"/>
    <w:rsid w:val="0FDA0C1D"/>
    <w:rsid w:val="10613A0A"/>
    <w:rsid w:val="10D00E84"/>
    <w:rsid w:val="11692E07"/>
    <w:rsid w:val="11A726EA"/>
    <w:rsid w:val="11BC387F"/>
    <w:rsid w:val="11F42D81"/>
    <w:rsid w:val="120C1B9A"/>
    <w:rsid w:val="12121331"/>
    <w:rsid w:val="12C50511"/>
    <w:rsid w:val="131018D8"/>
    <w:rsid w:val="14125C6A"/>
    <w:rsid w:val="1483335E"/>
    <w:rsid w:val="1487792B"/>
    <w:rsid w:val="14922675"/>
    <w:rsid w:val="14D827D3"/>
    <w:rsid w:val="15091AF6"/>
    <w:rsid w:val="15177431"/>
    <w:rsid w:val="163836F0"/>
    <w:rsid w:val="16B4137A"/>
    <w:rsid w:val="16D63B17"/>
    <w:rsid w:val="17E72CD8"/>
    <w:rsid w:val="18660E62"/>
    <w:rsid w:val="19406B43"/>
    <w:rsid w:val="194B1768"/>
    <w:rsid w:val="19F73F01"/>
    <w:rsid w:val="1A662151"/>
    <w:rsid w:val="1A8769F4"/>
    <w:rsid w:val="1B125DB5"/>
    <w:rsid w:val="1B28270A"/>
    <w:rsid w:val="1B2D5D50"/>
    <w:rsid w:val="1B48007F"/>
    <w:rsid w:val="1BBB0703"/>
    <w:rsid w:val="1CAA5CB0"/>
    <w:rsid w:val="1CB702FA"/>
    <w:rsid w:val="1CB735C0"/>
    <w:rsid w:val="1D7F0399"/>
    <w:rsid w:val="1DBC2247"/>
    <w:rsid w:val="1DF66617"/>
    <w:rsid w:val="1E84307A"/>
    <w:rsid w:val="1FC13095"/>
    <w:rsid w:val="1FC41B50"/>
    <w:rsid w:val="1FDD64DC"/>
    <w:rsid w:val="207E3A04"/>
    <w:rsid w:val="20FC2E19"/>
    <w:rsid w:val="21C87751"/>
    <w:rsid w:val="21EA10AC"/>
    <w:rsid w:val="227D2BB6"/>
    <w:rsid w:val="23C853F8"/>
    <w:rsid w:val="245152B3"/>
    <w:rsid w:val="246B444C"/>
    <w:rsid w:val="247A6B08"/>
    <w:rsid w:val="248D0F0D"/>
    <w:rsid w:val="24CC674D"/>
    <w:rsid w:val="24E10BFC"/>
    <w:rsid w:val="24F240EB"/>
    <w:rsid w:val="256E7CC8"/>
    <w:rsid w:val="25F57150"/>
    <w:rsid w:val="26013D28"/>
    <w:rsid w:val="2621602B"/>
    <w:rsid w:val="271635D9"/>
    <w:rsid w:val="271A2CD1"/>
    <w:rsid w:val="280630EC"/>
    <w:rsid w:val="281762B4"/>
    <w:rsid w:val="283B4707"/>
    <w:rsid w:val="285E77DB"/>
    <w:rsid w:val="28953575"/>
    <w:rsid w:val="290B10B2"/>
    <w:rsid w:val="29305F5D"/>
    <w:rsid w:val="29407B01"/>
    <w:rsid w:val="29A2742D"/>
    <w:rsid w:val="2A5F445E"/>
    <w:rsid w:val="2ACF0CA7"/>
    <w:rsid w:val="2B1716CE"/>
    <w:rsid w:val="2BC628A0"/>
    <w:rsid w:val="2BCA2832"/>
    <w:rsid w:val="2C4617FF"/>
    <w:rsid w:val="2C7A2001"/>
    <w:rsid w:val="2C9C2318"/>
    <w:rsid w:val="2CCE4C79"/>
    <w:rsid w:val="2D900F87"/>
    <w:rsid w:val="2DAE1794"/>
    <w:rsid w:val="2DE25FC3"/>
    <w:rsid w:val="2E5C1A86"/>
    <w:rsid w:val="2E652B53"/>
    <w:rsid w:val="2E8157DC"/>
    <w:rsid w:val="2EE116CD"/>
    <w:rsid w:val="2F302096"/>
    <w:rsid w:val="2F3A79D0"/>
    <w:rsid w:val="2F3D6224"/>
    <w:rsid w:val="2F887074"/>
    <w:rsid w:val="2FC326B9"/>
    <w:rsid w:val="2FE113DD"/>
    <w:rsid w:val="30A32DD3"/>
    <w:rsid w:val="3123750E"/>
    <w:rsid w:val="313A5A38"/>
    <w:rsid w:val="31644C54"/>
    <w:rsid w:val="317760CB"/>
    <w:rsid w:val="31B447D1"/>
    <w:rsid w:val="31C205E6"/>
    <w:rsid w:val="32141BC5"/>
    <w:rsid w:val="32AE2918"/>
    <w:rsid w:val="32C61A89"/>
    <w:rsid w:val="32CE4EB9"/>
    <w:rsid w:val="333B777A"/>
    <w:rsid w:val="33574D5E"/>
    <w:rsid w:val="33823753"/>
    <w:rsid w:val="342D2C46"/>
    <w:rsid w:val="34335EE7"/>
    <w:rsid w:val="34930017"/>
    <w:rsid w:val="34D174A7"/>
    <w:rsid w:val="35AA12C9"/>
    <w:rsid w:val="35DC1DA8"/>
    <w:rsid w:val="36545B4F"/>
    <w:rsid w:val="371F7D7D"/>
    <w:rsid w:val="375D7A2B"/>
    <w:rsid w:val="379C1A5A"/>
    <w:rsid w:val="3821593A"/>
    <w:rsid w:val="38364B13"/>
    <w:rsid w:val="383657FD"/>
    <w:rsid w:val="385E4900"/>
    <w:rsid w:val="38BB1803"/>
    <w:rsid w:val="38E839F1"/>
    <w:rsid w:val="38EF3790"/>
    <w:rsid w:val="3925145A"/>
    <w:rsid w:val="39361575"/>
    <w:rsid w:val="397F12DA"/>
    <w:rsid w:val="39E11BC7"/>
    <w:rsid w:val="3AB14CEA"/>
    <w:rsid w:val="3AFB2DC5"/>
    <w:rsid w:val="3B951B7B"/>
    <w:rsid w:val="3BC7163B"/>
    <w:rsid w:val="3BFD1D4F"/>
    <w:rsid w:val="3C7E0650"/>
    <w:rsid w:val="3D8B0C71"/>
    <w:rsid w:val="3DCF6FFB"/>
    <w:rsid w:val="3E267331"/>
    <w:rsid w:val="3E3010A8"/>
    <w:rsid w:val="3ED966FA"/>
    <w:rsid w:val="3F7B7B8A"/>
    <w:rsid w:val="3FD0465A"/>
    <w:rsid w:val="41DC3B36"/>
    <w:rsid w:val="43087E22"/>
    <w:rsid w:val="435766B4"/>
    <w:rsid w:val="440977EE"/>
    <w:rsid w:val="455A182E"/>
    <w:rsid w:val="462F56C6"/>
    <w:rsid w:val="46534978"/>
    <w:rsid w:val="468D30CA"/>
    <w:rsid w:val="46EE37D3"/>
    <w:rsid w:val="47702E10"/>
    <w:rsid w:val="47A008A9"/>
    <w:rsid w:val="491B410A"/>
    <w:rsid w:val="496C5102"/>
    <w:rsid w:val="4A6C0C97"/>
    <w:rsid w:val="4ACA03B1"/>
    <w:rsid w:val="4AD849ED"/>
    <w:rsid w:val="4BB849BD"/>
    <w:rsid w:val="4CC4568A"/>
    <w:rsid w:val="4CF87218"/>
    <w:rsid w:val="4D92310A"/>
    <w:rsid w:val="4E143CB5"/>
    <w:rsid w:val="4EED611E"/>
    <w:rsid w:val="4F46070C"/>
    <w:rsid w:val="4FB4610D"/>
    <w:rsid w:val="4FFB7CBC"/>
    <w:rsid w:val="506D57DC"/>
    <w:rsid w:val="50895F8F"/>
    <w:rsid w:val="50E9657C"/>
    <w:rsid w:val="532175A1"/>
    <w:rsid w:val="542D593B"/>
    <w:rsid w:val="55A03EEB"/>
    <w:rsid w:val="55EA5046"/>
    <w:rsid w:val="55F622FB"/>
    <w:rsid w:val="565A678F"/>
    <w:rsid w:val="56D13F4F"/>
    <w:rsid w:val="59552884"/>
    <w:rsid w:val="59983E95"/>
    <w:rsid w:val="59A64D1A"/>
    <w:rsid w:val="59F80546"/>
    <w:rsid w:val="5A02027F"/>
    <w:rsid w:val="5A056A12"/>
    <w:rsid w:val="5A06311D"/>
    <w:rsid w:val="5A714412"/>
    <w:rsid w:val="5AF47194"/>
    <w:rsid w:val="5B296730"/>
    <w:rsid w:val="5C013209"/>
    <w:rsid w:val="5C5A7C37"/>
    <w:rsid w:val="5C753925"/>
    <w:rsid w:val="5CEB1EEF"/>
    <w:rsid w:val="5D3F66DF"/>
    <w:rsid w:val="5D86262B"/>
    <w:rsid w:val="5E2F0501"/>
    <w:rsid w:val="5EFC4416"/>
    <w:rsid w:val="5FE22FDD"/>
    <w:rsid w:val="60433DF0"/>
    <w:rsid w:val="6048242D"/>
    <w:rsid w:val="60585292"/>
    <w:rsid w:val="607701AC"/>
    <w:rsid w:val="607B17DC"/>
    <w:rsid w:val="608A6609"/>
    <w:rsid w:val="608C7796"/>
    <w:rsid w:val="60EE28EF"/>
    <w:rsid w:val="61480C3A"/>
    <w:rsid w:val="61626B32"/>
    <w:rsid w:val="617213B6"/>
    <w:rsid w:val="6181445A"/>
    <w:rsid w:val="619C08C2"/>
    <w:rsid w:val="61EF4230"/>
    <w:rsid w:val="62966DA1"/>
    <w:rsid w:val="62994A80"/>
    <w:rsid w:val="63483123"/>
    <w:rsid w:val="63822E81"/>
    <w:rsid w:val="63907D73"/>
    <w:rsid w:val="63A534F4"/>
    <w:rsid w:val="63B374DF"/>
    <w:rsid w:val="63D3125A"/>
    <w:rsid w:val="646101D2"/>
    <w:rsid w:val="65144EBD"/>
    <w:rsid w:val="652C4416"/>
    <w:rsid w:val="655820EC"/>
    <w:rsid w:val="655A5D7E"/>
    <w:rsid w:val="657C753B"/>
    <w:rsid w:val="657D1B52"/>
    <w:rsid w:val="65AB02D0"/>
    <w:rsid w:val="67046EE0"/>
    <w:rsid w:val="67287E43"/>
    <w:rsid w:val="68064081"/>
    <w:rsid w:val="689720E1"/>
    <w:rsid w:val="68A15E82"/>
    <w:rsid w:val="68BE6600"/>
    <w:rsid w:val="698937D7"/>
    <w:rsid w:val="6A033CF5"/>
    <w:rsid w:val="6AEA3D0D"/>
    <w:rsid w:val="6B2D5D6A"/>
    <w:rsid w:val="6B40663A"/>
    <w:rsid w:val="6BAD42C1"/>
    <w:rsid w:val="6C5D448C"/>
    <w:rsid w:val="6C866040"/>
    <w:rsid w:val="6C9E0E60"/>
    <w:rsid w:val="6CE95D1F"/>
    <w:rsid w:val="6D0A4B1A"/>
    <w:rsid w:val="6EEE3AC1"/>
    <w:rsid w:val="6FF44A4B"/>
    <w:rsid w:val="70E96B66"/>
    <w:rsid w:val="70F43DA3"/>
    <w:rsid w:val="7121017E"/>
    <w:rsid w:val="71305D34"/>
    <w:rsid w:val="7148570A"/>
    <w:rsid w:val="714A6D87"/>
    <w:rsid w:val="715E76DD"/>
    <w:rsid w:val="71A61200"/>
    <w:rsid w:val="71C4758F"/>
    <w:rsid w:val="721910BE"/>
    <w:rsid w:val="72B77225"/>
    <w:rsid w:val="73291A9C"/>
    <w:rsid w:val="7564579F"/>
    <w:rsid w:val="758A07C7"/>
    <w:rsid w:val="763E597F"/>
    <w:rsid w:val="76634D94"/>
    <w:rsid w:val="7683092C"/>
    <w:rsid w:val="76EF048A"/>
    <w:rsid w:val="780779A0"/>
    <w:rsid w:val="789D1E39"/>
    <w:rsid w:val="791C7D3B"/>
    <w:rsid w:val="797D7F1B"/>
    <w:rsid w:val="799D193E"/>
    <w:rsid w:val="7A395308"/>
    <w:rsid w:val="7A590988"/>
    <w:rsid w:val="7A7339B3"/>
    <w:rsid w:val="7AF02F1C"/>
    <w:rsid w:val="7C105116"/>
    <w:rsid w:val="7C202174"/>
    <w:rsid w:val="7C45591E"/>
    <w:rsid w:val="7C5A5FF4"/>
    <w:rsid w:val="7C7953D4"/>
    <w:rsid w:val="7D0476B9"/>
    <w:rsid w:val="7D1374BC"/>
    <w:rsid w:val="7DE723B3"/>
    <w:rsid w:val="7E4576D5"/>
    <w:rsid w:val="7E7C0C17"/>
    <w:rsid w:val="7E7C7B82"/>
    <w:rsid w:val="7E8A74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 w:type="character" w:customStyle="1" w:styleId="15">
    <w:name w:val="font71"/>
    <w:basedOn w:val="8"/>
    <w:qFormat/>
    <w:uiPriority w:val="0"/>
    <w:rPr>
      <w:rFonts w:hint="eastAsia" w:ascii="宋体" w:hAnsi="宋体" w:eastAsia="宋体" w:cs="宋体"/>
      <w:color w:val="FF0000"/>
      <w:sz w:val="24"/>
      <w:szCs w:val="24"/>
      <w:u w:val="none"/>
    </w:rPr>
  </w:style>
  <w:style w:type="character" w:customStyle="1" w:styleId="16">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1227</Words>
  <Characters>1332</Characters>
  <Lines>5</Lines>
  <Paragraphs>1</Paragraphs>
  <TotalTime>1</TotalTime>
  <ScaleCrop>false</ScaleCrop>
  <LinksUpToDate>false</LinksUpToDate>
  <CharactersWithSpaces>1430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2026-03-16T09:20:25Z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