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7A9B">
      <w:pPr>
        <w:jc w:val="center"/>
        <w:rPr>
          <w:rFonts w:hint="eastAsia" w:ascii="仿宋" w:hAnsi="仿宋" w:eastAsia="仿宋" w:cs="仿宋"/>
          <w:b/>
          <w:bCs/>
          <w:sz w:val="44"/>
          <w:szCs w:val="44"/>
          <w:lang w:val="en-US" w:eastAsia="zh-CN"/>
        </w:rPr>
      </w:pPr>
      <w:bookmarkStart w:id="0" w:name="OLE_LINK1"/>
      <w:bookmarkStart w:id="1" w:name="OLE_LINK2"/>
      <w:r>
        <w:rPr>
          <w:rFonts w:hint="eastAsia" w:ascii="仿宋" w:hAnsi="仿宋" w:eastAsia="仿宋" w:cs="仿宋"/>
          <w:b/>
          <w:bCs/>
          <w:sz w:val="44"/>
          <w:szCs w:val="44"/>
          <w:lang w:val="en-US" w:eastAsia="zh-CN"/>
        </w:rPr>
        <w:t>消防设施配件（材料）采购</w:t>
      </w:r>
    </w:p>
    <w:p w14:paraId="5442FABA">
      <w:pPr>
        <w:jc w:val="center"/>
        <w:rPr>
          <w:rFonts w:hint="eastAsia" w:ascii="仿宋" w:hAnsi="仿宋" w:eastAsia="仿宋" w:cs="仿宋"/>
          <w:b/>
          <w:bCs/>
          <w:sz w:val="44"/>
          <w:szCs w:val="44"/>
        </w:rPr>
      </w:pPr>
      <w:r>
        <w:rPr>
          <w:rFonts w:hint="eastAsia" w:ascii="仿宋" w:hAnsi="仿宋" w:eastAsia="仿宋" w:cs="仿宋"/>
          <w:b/>
          <w:bCs/>
          <w:sz w:val="44"/>
          <w:szCs w:val="44"/>
        </w:rPr>
        <w:t>项目</w:t>
      </w:r>
      <w:bookmarkEnd w:id="0"/>
      <w:r>
        <w:rPr>
          <w:rFonts w:hint="eastAsia" w:ascii="仿宋" w:hAnsi="仿宋" w:eastAsia="仿宋" w:cs="仿宋"/>
          <w:b/>
          <w:bCs/>
          <w:sz w:val="44"/>
          <w:szCs w:val="44"/>
        </w:rPr>
        <w:t>比价方案</w:t>
      </w:r>
    </w:p>
    <w:p w14:paraId="688F2FB3">
      <w:pPr>
        <w:ind w:firstLine="600" w:firstLineChars="200"/>
        <w:jc w:val="both"/>
        <w:rPr>
          <w:rFonts w:hint="eastAsia" w:ascii="仿宋" w:hAnsi="仿宋" w:eastAsia="仿宋"/>
          <w:color w:val="000000" w:themeColor="text1"/>
          <w:sz w:val="30"/>
          <w:szCs w:val="30"/>
          <w:lang w:val="en-US" w:eastAsia="zh-CN"/>
        </w:rPr>
      </w:pPr>
      <w:bookmarkStart w:id="2" w:name="OLE_LINK6"/>
      <w:r>
        <w:rPr>
          <w:rFonts w:hint="eastAsia" w:ascii="仿宋" w:hAnsi="仿宋" w:eastAsia="仿宋"/>
          <w:color w:val="000000" w:themeColor="text1"/>
          <w:sz w:val="30"/>
          <w:szCs w:val="30"/>
          <w:lang w:val="en-US" w:eastAsia="zh-CN"/>
        </w:rPr>
        <w:t>院内病区配置过滤式消防自救呼吸器采购项目比价方案具体要求如下：</w:t>
      </w:r>
      <w:bookmarkEnd w:id="2"/>
    </w:p>
    <w:p w14:paraId="0767C1BF">
      <w:pPr>
        <w:adjustRightInd w:val="0"/>
        <w:spacing w:line="480" w:lineRule="exact"/>
        <w:ind w:firstLine="643" w:firstLineChars="200"/>
        <w:jc w:val="left"/>
        <w:rPr>
          <w:rFonts w:ascii="仿宋" w:hAnsi="仿宋" w:eastAsia="仿宋"/>
          <w:b/>
          <w:color w:val="000000" w:themeColor="text1"/>
          <w:sz w:val="32"/>
        </w:rPr>
      </w:pPr>
      <w:r>
        <w:rPr>
          <w:rFonts w:hint="eastAsia" w:ascii="仿宋" w:hAnsi="仿宋" w:eastAsia="仿宋"/>
          <w:b/>
          <w:color w:val="000000" w:themeColor="text1"/>
          <w:sz w:val="32"/>
        </w:rPr>
        <w:t>一、产品要求：</w:t>
      </w:r>
    </w:p>
    <w:bookmarkEnd w:id="1"/>
    <w:tbl>
      <w:tblPr>
        <w:tblStyle w:val="7"/>
        <w:tblW w:w="10658" w:type="dxa"/>
        <w:tblInd w:w="-91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1"/>
        <w:gridCol w:w="2166"/>
        <w:gridCol w:w="772"/>
        <w:gridCol w:w="933"/>
        <w:gridCol w:w="1186"/>
        <w:gridCol w:w="1210"/>
        <w:gridCol w:w="1290"/>
        <w:gridCol w:w="1120"/>
      </w:tblGrid>
      <w:tr w14:paraId="461638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2" w:hRule="atLeast"/>
        </w:trPr>
        <w:tc>
          <w:tcPr>
            <w:tcW w:w="1981" w:type="dxa"/>
            <w:vAlign w:val="center"/>
          </w:tcPr>
          <w:p w14:paraId="30B365BD">
            <w:pPr>
              <w:adjustRightInd w:val="0"/>
              <w:spacing w:line="480" w:lineRule="exact"/>
              <w:jc w:val="center"/>
              <w:rPr>
                <w:rFonts w:ascii="仿宋" w:hAnsi="仿宋" w:eastAsia="仿宋"/>
                <w:kern w:val="0"/>
                <w:sz w:val="24"/>
                <w:szCs w:val="24"/>
              </w:rPr>
            </w:pPr>
            <w:bookmarkStart w:id="3" w:name="OLE_LINK3"/>
            <w:r>
              <w:rPr>
                <w:rFonts w:hint="eastAsia" w:ascii="仿宋" w:hAnsi="仿宋" w:eastAsia="仿宋"/>
                <w:kern w:val="0"/>
                <w:sz w:val="24"/>
                <w:szCs w:val="24"/>
                <w:lang w:val="en-US" w:eastAsia="zh-CN"/>
              </w:rPr>
              <w:t>配件/材料</w:t>
            </w:r>
            <w:r>
              <w:rPr>
                <w:rFonts w:hint="eastAsia" w:ascii="仿宋" w:hAnsi="仿宋" w:eastAsia="仿宋"/>
                <w:kern w:val="0"/>
                <w:sz w:val="24"/>
                <w:szCs w:val="24"/>
              </w:rPr>
              <w:t>名称</w:t>
            </w:r>
          </w:p>
        </w:tc>
        <w:tc>
          <w:tcPr>
            <w:tcW w:w="2166" w:type="dxa"/>
            <w:vAlign w:val="center"/>
          </w:tcPr>
          <w:p w14:paraId="63A6C25D">
            <w:pPr>
              <w:adjustRightInd w:val="0"/>
              <w:spacing w:line="480" w:lineRule="exact"/>
              <w:jc w:val="center"/>
              <w:rPr>
                <w:rFonts w:ascii="仿宋" w:hAnsi="仿宋" w:eastAsia="仿宋"/>
                <w:kern w:val="0"/>
                <w:sz w:val="24"/>
                <w:szCs w:val="24"/>
              </w:rPr>
            </w:pPr>
            <w:r>
              <w:rPr>
                <w:rFonts w:ascii="仿宋" w:hAnsi="仿宋" w:eastAsia="仿宋"/>
                <w:kern w:val="0"/>
                <w:sz w:val="24"/>
                <w:szCs w:val="24"/>
              </w:rPr>
              <w:t>规格型号</w:t>
            </w:r>
          </w:p>
        </w:tc>
        <w:tc>
          <w:tcPr>
            <w:tcW w:w="772" w:type="dxa"/>
            <w:tcBorders>
              <w:right w:val="single" w:color="auto" w:sz="4" w:space="0"/>
            </w:tcBorders>
            <w:vAlign w:val="center"/>
          </w:tcPr>
          <w:p w14:paraId="39FC58D4">
            <w:pPr>
              <w:adjustRightInd w:val="0"/>
              <w:spacing w:line="480" w:lineRule="exact"/>
              <w:jc w:val="center"/>
              <w:rPr>
                <w:rFonts w:hint="eastAsia" w:ascii="仿宋" w:hAnsi="仿宋" w:eastAsia="仿宋"/>
                <w:kern w:val="0"/>
                <w:sz w:val="24"/>
                <w:szCs w:val="24"/>
                <w:lang w:val="en-US" w:eastAsia="zh-CN"/>
              </w:rPr>
            </w:pPr>
            <w:r>
              <w:rPr>
                <w:rFonts w:hint="eastAsia" w:ascii="仿宋" w:hAnsi="仿宋" w:eastAsia="仿宋"/>
                <w:kern w:val="0"/>
                <w:sz w:val="24"/>
                <w:szCs w:val="24"/>
              </w:rPr>
              <w:t>单</w:t>
            </w:r>
            <w:r>
              <w:rPr>
                <w:rFonts w:hint="eastAsia" w:ascii="仿宋" w:hAnsi="仿宋" w:eastAsia="仿宋"/>
                <w:kern w:val="0"/>
                <w:sz w:val="24"/>
                <w:szCs w:val="24"/>
                <w:lang w:val="en-US" w:eastAsia="zh-CN"/>
              </w:rPr>
              <w:t>位</w:t>
            </w:r>
          </w:p>
        </w:tc>
        <w:tc>
          <w:tcPr>
            <w:tcW w:w="933" w:type="dxa"/>
            <w:tcBorders>
              <w:left w:val="single" w:color="auto" w:sz="4" w:space="0"/>
              <w:right w:val="single" w:color="auto" w:sz="4" w:space="0"/>
            </w:tcBorders>
            <w:vAlign w:val="center"/>
          </w:tcPr>
          <w:p w14:paraId="76887629">
            <w:pPr>
              <w:adjustRightInd w:val="0"/>
              <w:spacing w:line="480" w:lineRule="exact"/>
              <w:jc w:val="cente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数量</w:t>
            </w:r>
          </w:p>
        </w:tc>
        <w:tc>
          <w:tcPr>
            <w:tcW w:w="1186" w:type="dxa"/>
            <w:tcBorders>
              <w:left w:val="single" w:color="auto" w:sz="4" w:space="0"/>
            </w:tcBorders>
            <w:vAlign w:val="center"/>
          </w:tcPr>
          <w:p w14:paraId="78B753BE">
            <w:pPr>
              <w:adjustRightInd w:val="0"/>
              <w:spacing w:line="480" w:lineRule="exact"/>
              <w:jc w:val="cente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单价</w:t>
            </w:r>
          </w:p>
        </w:tc>
        <w:tc>
          <w:tcPr>
            <w:tcW w:w="1210" w:type="dxa"/>
            <w:tcBorders>
              <w:right w:val="single" w:color="auto" w:sz="4" w:space="0"/>
            </w:tcBorders>
            <w:vAlign w:val="center"/>
          </w:tcPr>
          <w:p w14:paraId="1A7BB23C">
            <w:pPr>
              <w:adjustRightInd w:val="0"/>
              <w:spacing w:line="480" w:lineRule="exact"/>
              <w:jc w:val="center"/>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金额</w:t>
            </w:r>
          </w:p>
        </w:tc>
        <w:tc>
          <w:tcPr>
            <w:tcW w:w="1290" w:type="dxa"/>
            <w:tcBorders>
              <w:left w:val="single" w:color="auto" w:sz="4" w:space="0"/>
            </w:tcBorders>
            <w:vAlign w:val="center"/>
          </w:tcPr>
          <w:p w14:paraId="56250EAF">
            <w:pPr>
              <w:adjustRightInd w:val="0"/>
              <w:spacing w:line="480" w:lineRule="exact"/>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最高限价</w:t>
            </w:r>
          </w:p>
        </w:tc>
        <w:tc>
          <w:tcPr>
            <w:tcW w:w="1120" w:type="dxa"/>
            <w:vAlign w:val="center"/>
          </w:tcPr>
          <w:p w14:paraId="76C78C54">
            <w:pPr>
              <w:adjustRightInd w:val="0"/>
              <w:spacing w:line="480" w:lineRule="exact"/>
              <w:jc w:val="center"/>
              <w:rPr>
                <w:rFonts w:ascii="仿宋" w:hAnsi="仿宋" w:eastAsia="仿宋"/>
                <w:kern w:val="0"/>
                <w:sz w:val="28"/>
                <w:szCs w:val="32"/>
              </w:rPr>
            </w:pPr>
            <w:r>
              <w:rPr>
                <w:rFonts w:hint="eastAsia" w:ascii="仿宋" w:hAnsi="仿宋" w:eastAsia="仿宋"/>
                <w:kern w:val="0"/>
                <w:sz w:val="28"/>
                <w:szCs w:val="32"/>
              </w:rPr>
              <w:t>备注</w:t>
            </w:r>
          </w:p>
        </w:tc>
      </w:tr>
      <w:tr w14:paraId="476B1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1981" w:type="dxa"/>
            <w:tcBorders>
              <w:bottom w:val="single" w:color="auto" w:sz="4" w:space="0"/>
            </w:tcBorders>
            <w:shd w:val="clear" w:color="auto" w:fill="auto"/>
            <w:vAlign w:val="center"/>
          </w:tcPr>
          <w:p w14:paraId="3182EA48">
            <w:pPr>
              <w:widowControl/>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过滤式消防</w:t>
            </w:r>
          </w:p>
          <w:p w14:paraId="7EC1E0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自救呼吸器</w:t>
            </w:r>
          </w:p>
        </w:tc>
        <w:tc>
          <w:tcPr>
            <w:tcW w:w="2166" w:type="dxa"/>
            <w:tcBorders>
              <w:bottom w:val="single" w:color="auto" w:sz="4" w:space="0"/>
            </w:tcBorders>
            <w:shd w:val="clear" w:color="auto" w:fill="auto"/>
            <w:vAlign w:val="center"/>
          </w:tcPr>
          <w:p w14:paraId="5DC51A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TZL/30</w:t>
            </w:r>
          </w:p>
        </w:tc>
        <w:tc>
          <w:tcPr>
            <w:tcW w:w="772" w:type="dxa"/>
            <w:tcBorders>
              <w:bottom w:val="single" w:color="auto" w:sz="4" w:space="0"/>
              <w:right w:val="single" w:color="auto" w:sz="4" w:space="0"/>
            </w:tcBorders>
            <w:vAlign w:val="center"/>
          </w:tcPr>
          <w:p w14:paraId="2B10E8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只</w:t>
            </w:r>
          </w:p>
        </w:tc>
        <w:tc>
          <w:tcPr>
            <w:tcW w:w="933" w:type="dxa"/>
            <w:tcBorders>
              <w:left w:val="single" w:color="auto" w:sz="4" w:space="0"/>
              <w:bottom w:val="single" w:color="auto" w:sz="4" w:space="0"/>
              <w:right w:val="single" w:color="auto" w:sz="4" w:space="0"/>
            </w:tcBorders>
            <w:vAlign w:val="center"/>
          </w:tcPr>
          <w:p w14:paraId="236510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1500</w:t>
            </w:r>
          </w:p>
        </w:tc>
        <w:tc>
          <w:tcPr>
            <w:tcW w:w="1186" w:type="dxa"/>
            <w:tcBorders>
              <w:left w:val="single" w:color="auto" w:sz="4" w:space="0"/>
              <w:bottom w:val="single" w:color="auto" w:sz="4" w:space="0"/>
            </w:tcBorders>
            <w:vAlign w:val="center"/>
          </w:tcPr>
          <w:p w14:paraId="227278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c>
          <w:tcPr>
            <w:tcW w:w="1210" w:type="dxa"/>
            <w:tcBorders>
              <w:bottom w:val="single" w:color="auto" w:sz="4" w:space="0"/>
              <w:right w:val="single" w:color="auto" w:sz="4" w:space="0"/>
            </w:tcBorders>
            <w:vAlign w:val="center"/>
          </w:tcPr>
          <w:p w14:paraId="073448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c>
          <w:tcPr>
            <w:tcW w:w="1290" w:type="dxa"/>
            <w:tcBorders>
              <w:left w:val="single" w:color="auto" w:sz="4" w:space="0"/>
              <w:bottom w:val="single" w:color="auto" w:sz="4" w:space="0"/>
            </w:tcBorders>
            <w:vAlign w:val="center"/>
          </w:tcPr>
          <w:p w14:paraId="4C16C03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27元/只</w:t>
            </w:r>
          </w:p>
        </w:tc>
        <w:tc>
          <w:tcPr>
            <w:tcW w:w="1120" w:type="dxa"/>
            <w:vMerge w:val="restart"/>
            <w:vAlign w:val="center"/>
          </w:tcPr>
          <w:p w14:paraId="5C965A62">
            <w:pPr>
              <w:keepNext w:val="0"/>
              <w:keepLines w:val="0"/>
              <w:pageBreakBefore w:val="0"/>
              <w:widowControl w:val="0"/>
              <w:kinsoku/>
              <w:wordWrap/>
              <w:overflowPunct/>
              <w:topLinePunct w:val="0"/>
              <w:autoSpaceDE/>
              <w:autoSpaceDN/>
              <w:bidi w:val="0"/>
              <w:adjustRightInd w:val="0"/>
              <w:snapToGrid/>
              <w:spacing w:line="360" w:lineRule="exact"/>
              <w:jc w:val="left"/>
              <w:textAlignment w:val="auto"/>
              <w:rPr>
                <w:rFonts w:ascii="仿宋" w:hAnsi="仿宋" w:eastAsia="仿宋"/>
                <w:kern w:val="0"/>
                <w:sz w:val="28"/>
                <w:szCs w:val="28"/>
              </w:rPr>
            </w:pPr>
            <w:r>
              <w:rPr>
                <w:rFonts w:hint="eastAsia" w:ascii="仿宋" w:hAnsi="仿宋" w:eastAsia="仿宋"/>
                <w:kern w:val="0"/>
                <w:sz w:val="24"/>
                <w:szCs w:val="24"/>
                <w:lang w:val="en-US" w:eastAsia="zh-CN"/>
              </w:rPr>
              <w:t>总计</w:t>
            </w:r>
            <w:r>
              <w:rPr>
                <w:rFonts w:ascii="仿宋" w:hAnsi="仿宋" w:eastAsia="仿宋"/>
                <w:kern w:val="0"/>
                <w:sz w:val="24"/>
                <w:szCs w:val="24"/>
              </w:rPr>
              <w:t>最高限价</w:t>
            </w:r>
            <w:r>
              <w:rPr>
                <w:rFonts w:hint="eastAsia" w:ascii="仿宋" w:hAnsi="仿宋" w:eastAsia="仿宋" w:cs="仿宋"/>
                <w:b w:val="0"/>
                <w:bCs/>
                <w:color w:val="000000" w:themeColor="text1"/>
                <w:sz w:val="24"/>
                <w:szCs w:val="24"/>
                <w:lang w:val="en-US" w:eastAsia="zh-CN"/>
              </w:rPr>
              <w:t>49110</w:t>
            </w:r>
            <w:r>
              <w:rPr>
                <w:rFonts w:hint="eastAsia" w:ascii="仿宋" w:hAnsi="仿宋" w:eastAsia="仿宋"/>
                <w:kern w:val="0"/>
                <w:sz w:val="24"/>
                <w:szCs w:val="24"/>
              </w:rPr>
              <w:t>元，报价不得高于限价。</w:t>
            </w:r>
          </w:p>
        </w:tc>
      </w:tr>
      <w:tr w14:paraId="75CA8B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1981" w:type="dxa"/>
            <w:tcBorders>
              <w:bottom w:val="single" w:color="auto" w:sz="4" w:space="0"/>
            </w:tcBorders>
            <w:shd w:val="clear" w:color="auto" w:fill="auto"/>
            <w:vAlign w:val="center"/>
          </w:tcPr>
          <w:p w14:paraId="2EFE3A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呼吸器摆放箱</w:t>
            </w:r>
          </w:p>
        </w:tc>
        <w:tc>
          <w:tcPr>
            <w:tcW w:w="2166" w:type="dxa"/>
            <w:tcBorders>
              <w:bottom w:val="single" w:color="auto" w:sz="4" w:space="0"/>
            </w:tcBorders>
            <w:shd w:val="clear" w:color="auto" w:fill="auto"/>
            <w:vAlign w:val="center"/>
          </w:tcPr>
          <w:p w14:paraId="29B5B5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850*600*265</w:t>
            </w:r>
          </w:p>
          <w:p w14:paraId="1172DB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钢化玻璃门</w:t>
            </w:r>
          </w:p>
        </w:tc>
        <w:tc>
          <w:tcPr>
            <w:tcW w:w="772" w:type="dxa"/>
            <w:tcBorders>
              <w:bottom w:val="single" w:color="auto" w:sz="4" w:space="0"/>
              <w:right w:val="single" w:color="auto" w:sz="4" w:space="0"/>
            </w:tcBorders>
            <w:vAlign w:val="center"/>
          </w:tcPr>
          <w:p w14:paraId="49B316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只</w:t>
            </w:r>
          </w:p>
        </w:tc>
        <w:tc>
          <w:tcPr>
            <w:tcW w:w="933" w:type="dxa"/>
            <w:tcBorders>
              <w:left w:val="single" w:color="auto" w:sz="4" w:space="0"/>
              <w:bottom w:val="single" w:color="auto" w:sz="4" w:space="0"/>
              <w:right w:val="single" w:color="auto" w:sz="4" w:space="0"/>
            </w:tcBorders>
            <w:vAlign w:val="center"/>
          </w:tcPr>
          <w:p w14:paraId="796B20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41</w:t>
            </w:r>
          </w:p>
        </w:tc>
        <w:tc>
          <w:tcPr>
            <w:tcW w:w="1186" w:type="dxa"/>
            <w:tcBorders>
              <w:left w:val="single" w:color="auto" w:sz="4" w:space="0"/>
              <w:bottom w:val="single" w:color="auto" w:sz="4" w:space="0"/>
            </w:tcBorders>
            <w:vAlign w:val="center"/>
          </w:tcPr>
          <w:p w14:paraId="429B28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c>
          <w:tcPr>
            <w:tcW w:w="1210" w:type="dxa"/>
            <w:tcBorders>
              <w:bottom w:val="single" w:color="auto" w:sz="4" w:space="0"/>
              <w:right w:val="single" w:color="auto" w:sz="4" w:space="0"/>
            </w:tcBorders>
            <w:vAlign w:val="center"/>
          </w:tcPr>
          <w:p w14:paraId="6296B2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c>
          <w:tcPr>
            <w:tcW w:w="1290" w:type="dxa"/>
            <w:tcBorders>
              <w:left w:val="single" w:color="auto" w:sz="4" w:space="0"/>
              <w:bottom w:val="single" w:color="auto" w:sz="4" w:space="0"/>
            </w:tcBorders>
            <w:vAlign w:val="center"/>
          </w:tcPr>
          <w:p w14:paraId="07A6C1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210元/只</w:t>
            </w:r>
          </w:p>
        </w:tc>
        <w:tc>
          <w:tcPr>
            <w:tcW w:w="1120" w:type="dxa"/>
            <w:vMerge w:val="continue"/>
            <w:vAlign w:val="center"/>
          </w:tcPr>
          <w:p w14:paraId="6BCAF125">
            <w:pPr>
              <w:keepNext w:val="0"/>
              <w:keepLines w:val="0"/>
              <w:pageBreakBefore w:val="0"/>
              <w:widowControl w:val="0"/>
              <w:kinsoku/>
              <w:wordWrap/>
              <w:overflowPunct/>
              <w:topLinePunct w:val="0"/>
              <w:autoSpaceDE/>
              <w:autoSpaceDN/>
              <w:bidi w:val="0"/>
              <w:adjustRightInd w:val="0"/>
              <w:snapToGrid/>
              <w:spacing w:line="360" w:lineRule="exact"/>
              <w:jc w:val="left"/>
              <w:textAlignment w:val="auto"/>
              <w:rPr>
                <w:rFonts w:hint="eastAsia" w:ascii="仿宋" w:hAnsi="仿宋" w:eastAsia="仿宋"/>
                <w:kern w:val="0"/>
                <w:sz w:val="24"/>
                <w:szCs w:val="24"/>
                <w:lang w:val="en-US" w:eastAsia="zh-CN"/>
              </w:rPr>
            </w:pPr>
          </w:p>
        </w:tc>
      </w:tr>
      <w:tr w14:paraId="7A3A5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4147" w:type="dxa"/>
            <w:gridSpan w:val="2"/>
            <w:tcBorders>
              <w:top w:val="single" w:color="auto" w:sz="4" w:space="0"/>
              <w:bottom w:val="single" w:color="auto" w:sz="4" w:space="0"/>
            </w:tcBorders>
            <w:vAlign w:val="center"/>
          </w:tcPr>
          <w:p w14:paraId="30AA962E">
            <w:pPr>
              <w:widowControl/>
              <w:jc w:val="righ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总计人民币小写</w:t>
            </w:r>
          </w:p>
        </w:tc>
        <w:tc>
          <w:tcPr>
            <w:tcW w:w="5391" w:type="dxa"/>
            <w:gridSpan w:val="5"/>
            <w:tcBorders>
              <w:top w:val="single" w:color="auto" w:sz="4" w:space="0"/>
              <w:bottom w:val="single" w:color="auto" w:sz="4" w:space="0"/>
            </w:tcBorders>
            <w:vAlign w:val="center"/>
          </w:tcPr>
          <w:p w14:paraId="34B17F8F">
            <w:pPr>
              <w:widowControl/>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w:t>
            </w:r>
          </w:p>
        </w:tc>
        <w:tc>
          <w:tcPr>
            <w:tcW w:w="1120" w:type="dxa"/>
            <w:vMerge w:val="continue"/>
            <w:vAlign w:val="center"/>
          </w:tcPr>
          <w:p w14:paraId="07E5D59D">
            <w:pPr>
              <w:adjustRightInd w:val="0"/>
              <w:spacing w:line="480" w:lineRule="exact"/>
              <w:jc w:val="left"/>
              <w:rPr>
                <w:rFonts w:ascii="仿宋" w:hAnsi="仿宋" w:eastAsia="仿宋"/>
                <w:kern w:val="0"/>
                <w:sz w:val="28"/>
                <w:szCs w:val="28"/>
              </w:rPr>
            </w:pPr>
          </w:p>
        </w:tc>
      </w:tr>
      <w:tr w14:paraId="13207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trPr>
        <w:tc>
          <w:tcPr>
            <w:tcW w:w="4147" w:type="dxa"/>
            <w:gridSpan w:val="2"/>
            <w:tcBorders>
              <w:top w:val="single" w:color="auto" w:sz="4" w:space="0"/>
              <w:bottom w:val="single" w:color="auto" w:sz="4" w:space="0"/>
            </w:tcBorders>
            <w:vAlign w:val="center"/>
          </w:tcPr>
          <w:p w14:paraId="353BE62C">
            <w:pPr>
              <w:widowControl/>
              <w:jc w:val="righ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总计人民币</w:t>
            </w:r>
            <w:r>
              <w:rPr>
                <w:rFonts w:hint="eastAsia" w:ascii="仿宋" w:hAnsi="仿宋" w:eastAsia="仿宋" w:cs="仿宋"/>
                <w:color w:val="000000"/>
                <w:sz w:val="24"/>
                <w:szCs w:val="24"/>
                <w:lang w:val="en-US" w:eastAsia="zh-CN"/>
              </w:rPr>
              <w:t>大</w:t>
            </w:r>
            <w:r>
              <w:rPr>
                <w:rFonts w:hint="eastAsia" w:ascii="仿宋" w:hAnsi="仿宋" w:eastAsia="仿宋" w:cs="仿宋"/>
                <w:color w:val="000000"/>
                <w:sz w:val="24"/>
                <w:szCs w:val="24"/>
              </w:rPr>
              <w:t>写</w:t>
            </w:r>
          </w:p>
        </w:tc>
        <w:tc>
          <w:tcPr>
            <w:tcW w:w="5391" w:type="dxa"/>
            <w:gridSpan w:val="5"/>
            <w:tcBorders>
              <w:top w:val="single" w:color="auto" w:sz="4" w:space="0"/>
              <w:bottom w:val="single" w:color="auto" w:sz="4" w:space="0"/>
            </w:tcBorders>
            <w:vAlign w:val="center"/>
          </w:tcPr>
          <w:p w14:paraId="51D28126">
            <w:pPr>
              <w:widowControl/>
              <w:jc w:val="right"/>
              <w:rPr>
                <w:rFonts w:hint="eastAsia" w:ascii="仿宋" w:hAnsi="仿宋" w:eastAsia="仿宋" w:cs="仿宋"/>
                <w:color w:val="000000"/>
                <w:sz w:val="24"/>
                <w:szCs w:val="24"/>
                <w:lang w:val="en-US" w:eastAsia="zh-CN"/>
              </w:rPr>
            </w:pPr>
          </w:p>
        </w:tc>
        <w:tc>
          <w:tcPr>
            <w:tcW w:w="1120" w:type="dxa"/>
            <w:vMerge w:val="continue"/>
            <w:vAlign w:val="center"/>
          </w:tcPr>
          <w:p w14:paraId="0E86B226">
            <w:pPr>
              <w:widowControl/>
              <w:jc w:val="left"/>
              <w:rPr>
                <w:rFonts w:ascii="仿宋" w:hAnsi="仿宋" w:eastAsia="仿宋"/>
                <w:kern w:val="0"/>
                <w:sz w:val="28"/>
                <w:szCs w:val="28"/>
              </w:rPr>
            </w:pPr>
          </w:p>
        </w:tc>
      </w:tr>
      <w:tr w14:paraId="335F3C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9538" w:type="dxa"/>
            <w:gridSpan w:val="7"/>
            <w:tcBorders>
              <w:top w:val="single" w:color="auto" w:sz="4" w:space="0"/>
              <w:bottom w:val="single" w:color="auto" w:sz="4" w:space="0"/>
            </w:tcBorders>
            <w:vAlign w:val="center"/>
          </w:tcPr>
          <w:p w14:paraId="5E3BC1E4">
            <w:pPr>
              <w:widowControl/>
              <w:jc w:val="left"/>
              <w:rPr>
                <w:rFonts w:hint="eastAsia" w:ascii="仿宋" w:hAnsi="仿宋" w:eastAsia="仿宋" w:cs="仿宋"/>
                <w:color w:val="000000"/>
                <w:sz w:val="24"/>
                <w:szCs w:val="24"/>
                <w:lang w:val="en-US" w:eastAsia="zh-CN"/>
              </w:rPr>
            </w:pPr>
            <w:r>
              <w:rPr>
                <w:rFonts w:hint="eastAsia" w:ascii="仿宋" w:hAnsi="仿宋" w:eastAsia="仿宋" w:cs="仿宋"/>
                <w:color w:val="000000" w:themeColor="text1"/>
                <w:sz w:val="24"/>
                <w:szCs w:val="24"/>
              </w:rPr>
              <w:t>注：该项目报价为包干价（含：安全管理措施费、机械费、税费等所有费用）。</w:t>
            </w:r>
          </w:p>
        </w:tc>
        <w:tc>
          <w:tcPr>
            <w:tcW w:w="1120" w:type="dxa"/>
            <w:vMerge w:val="continue"/>
            <w:vAlign w:val="center"/>
          </w:tcPr>
          <w:p w14:paraId="4CCAD3D4">
            <w:pPr>
              <w:widowControl/>
              <w:jc w:val="left"/>
              <w:rPr>
                <w:rFonts w:ascii="仿宋" w:hAnsi="仿宋" w:eastAsia="仿宋"/>
                <w:kern w:val="0"/>
                <w:sz w:val="28"/>
                <w:szCs w:val="28"/>
              </w:rPr>
            </w:pPr>
          </w:p>
        </w:tc>
      </w:tr>
      <w:tr w14:paraId="180C64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9538" w:type="dxa"/>
            <w:gridSpan w:val="7"/>
            <w:tcBorders>
              <w:top w:val="single" w:color="auto" w:sz="4" w:space="0"/>
              <w:bottom w:val="single" w:color="auto" w:sz="4" w:space="0"/>
            </w:tcBorders>
            <w:vAlign w:val="center"/>
          </w:tcPr>
          <w:p w14:paraId="28541481">
            <w:pPr>
              <w:spacing w:line="480" w:lineRule="exact"/>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报价单位（盖章）：</w:t>
            </w:r>
            <w:r>
              <w:rPr>
                <w:rFonts w:hint="eastAsia" w:ascii="仿宋" w:hAnsi="仿宋" w:eastAsia="仿宋" w:cs="仿宋"/>
                <w:color w:val="000000" w:themeColor="text1"/>
                <w:sz w:val="24"/>
                <w:szCs w:val="24"/>
                <w:lang w:val="en-US" w:eastAsia="zh-CN"/>
              </w:rPr>
              <w:t xml:space="preserve">                              </w:t>
            </w:r>
            <w:r>
              <w:rPr>
                <w:rFonts w:hint="eastAsia" w:ascii="仿宋" w:hAnsi="仿宋" w:eastAsia="仿宋" w:cs="仿宋"/>
                <w:color w:val="000000" w:themeColor="text1"/>
                <w:sz w:val="24"/>
                <w:szCs w:val="24"/>
              </w:rPr>
              <w:t>报价日期：</w:t>
            </w:r>
          </w:p>
        </w:tc>
        <w:tc>
          <w:tcPr>
            <w:tcW w:w="1120" w:type="dxa"/>
            <w:vMerge w:val="continue"/>
            <w:vAlign w:val="center"/>
          </w:tcPr>
          <w:p w14:paraId="4458F8A0">
            <w:pPr>
              <w:widowControl/>
              <w:jc w:val="left"/>
              <w:rPr>
                <w:rFonts w:ascii="仿宋" w:hAnsi="仿宋" w:eastAsia="仿宋"/>
                <w:kern w:val="0"/>
                <w:sz w:val="28"/>
                <w:szCs w:val="28"/>
              </w:rPr>
            </w:pPr>
          </w:p>
        </w:tc>
      </w:tr>
      <w:tr w14:paraId="172C71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9538" w:type="dxa"/>
            <w:gridSpan w:val="7"/>
            <w:tcBorders>
              <w:top w:val="single" w:color="auto" w:sz="4" w:space="0"/>
            </w:tcBorders>
            <w:vAlign w:val="center"/>
          </w:tcPr>
          <w:p w14:paraId="5EEE3F33">
            <w:pPr>
              <w:numPr>
                <w:ilvl w:val="0"/>
                <w:numId w:val="1"/>
              </w:numPr>
              <w:spacing w:line="480" w:lineRule="exact"/>
              <w:jc w:val="left"/>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按甲方指定位置摆放到位。</w:t>
            </w:r>
          </w:p>
          <w:p w14:paraId="6D65BD8A">
            <w:pPr>
              <w:numPr>
                <w:ilvl w:val="0"/>
                <w:numId w:val="1"/>
              </w:numPr>
              <w:spacing w:line="480" w:lineRule="exact"/>
              <w:jc w:val="left"/>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中标供应商提供产品时需附带检验报告等相关证书（网上可查），产品为：合格；</w:t>
            </w:r>
          </w:p>
          <w:p w14:paraId="35FADF7B">
            <w:pPr>
              <w:spacing w:line="460" w:lineRule="exact"/>
              <w:rPr>
                <w:rFonts w:hint="default" w:ascii="仿宋" w:hAnsi="仿宋" w:eastAsia="仿宋" w:cs="仿宋"/>
                <w:color w:val="000000" w:themeColor="text1"/>
                <w:sz w:val="24"/>
                <w:szCs w:val="24"/>
                <w:lang w:val="en-US" w:eastAsia="zh-CN"/>
              </w:rPr>
            </w:pPr>
            <w:r>
              <w:rPr>
                <w:rFonts w:hint="eastAsia" w:ascii="仿宋" w:hAnsi="仿宋" w:eastAsia="仿宋" w:cs="仿宋"/>
                <w:color w:val="000000"/>
                <w:sz w:val="24"/>
                <w:szCs w:val="24"/>
                <w:lang w:val="en-US" w:eastAsia="zh-CN"/>
              </w:rPr>
              <w:t>3、呼吸器摆放箱：投标人需与院方联系人</w:t>
            </w:r>
            <w:bookmarkStart w:id="4" w:name="_Hlk192765984"/>
            <w:r>
              <w:rPr>
                <w:rFonts w:hint="eastAsia" w:ascii="仿宋" w:hAnsi="仿宋" w:eastAsia="仿宋" w:cs="仿宋"/>
                <w:color w:val="000000"/>
                <w:sz w:val="24"/>
                <w:szCs w:val="24"/>
                <w:lang w:val="en-US" w:eastAsia="zh-CN"/>
              </w:rPr>
              <w:t>（蒋老师13775350888）联系勘察现场查看甲方指定的箱子式样。</w:t>
            </w:r>
            <w:bookmarkEnd w:id="4"/>
          </w:p>
        </w:tc>
        <w:tc>
          <w:tcPr>
            <w:tcW w:w="1120" w:type="dxa"/>
            <w:vMerge w:val="continue"/>
            <w:vAlign w:val="center"/>
          </w:tcPr>
          <w:p w14:paraId="469316F8">
            <w:pPr>
              <w:widowControl/>
              <w:jc w:val="left"/>
              <w:rPr>
                <w:rFonts w:ascii="仿宋" w:hAnsi="仿宋" w:eastAsia="仿宋"/>
                <w:kern w:val="0"/>
                <w:sz w:val="28"/>
                <w:szCs w:val="28"/>
              </w:rPr>
            </w:pPr>
          </w:p>
        </w:tc>
      </w:tr>
      <w:bookmarkEnd w:id="3"/>
    </w:tbl>
    <w:p w14:paraId="292DB696">
      <w:pPr>
        <w:adjustRightInd w:val="0"/>
        <w:spacing w:line="480" w:lineRule="exact"/>
        <w:ind w:firstLine="562" w:firstLineChars="200"/>
        <w:jc w:val="left"/>
        <w:rPr>
          <w:rFonts w:ascii="仿宋" w:hAnsi="仿宋" w:eastAsia="仿宋"/>
          <w:b/>
          <w:color w:val="000000" w:themeColor="text1"/>
          <w:sz w:val="32"/>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rPr>
        <w:t>比价方案：</w:t>
      </w:r>
    </w:p>
    <w:p w14:paraId="3B08F319">
      <w:pPr>
        <w:keepNext w:val="0"/>
        <w:keepLines w:val="0"/>
        <w:pageBreakBefore w:val="0"/>
        <w:kinsoku/>
        <w:wordWrap/>
        <w:overflowPunct/>
        <w:topLinePunct w:val="0"/>
        <w:autoSpaceDE/>
        <w:autoSpaceDN/>
        <w:bidi w:val="0"/>
        <w:adjustRightInd w:val="0"/>
        <w:spacing w:line="440" w:lineRule="exact"/>
        <w:ind w:firstLine="640" w:firstLineChars="200"/>
        <w:jc w:val="left"/>
        <w:textAlignment w:val="auto"/>
        <w:rPr>
          <w:rFonts w:ascii="仿宋" w:hAnsi="仿宋" w:eastAsia="仿宋" w:cs="宋体"/>
          <w:color w:val="000000" w:themeColor="text1"/>
          <w:kern w:val="0"/>
          <w:sz w:val="32"/>
        </w:rPr>
      </w:pPr>
      <w:r>
        <w:rPr>
          <w:rFonts w:hint="eastAsia" w:ascii="仿宋" w:hAnsi="仿宋" w:eastAsia="仿宋" w:cs="宋体"/>
          <w:color w:val="000000" w:themeColor="text1"/>
          <w:kern w:val="0"/>
          <w:sz w:val="32"/>
        </w:rPr>
        <w:t>1.</w:t>
      </w: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18CB2856">
      <w:pPr>
        <w:adjustRightInd w:val="0"/>
        <w:spacing w:line="480" w:lineRule="exact"/>
        <w:ind w:firstLine="640" w:firstLineChars="200"/>
        <w:jc w:val="left"/>
        <w:rPr>
          <w:rFonts w:hint="eastAsia" w:ascii="仿宋" w:hAnsi="仿宋" w:eastAsia="仿宋" w:cs="宋体"/>
          <w:color w:val="000000" w:themeColor="text1"/>
          <w:kern w:val="0"/>
          <w:sz w:val="32"/>
        </w:rPr>
      </w:pPr>
      <w:r>
        <w:rPr>
          <w:rFonts w:hint="eastAsia" w:ascii="仿宋" w:hAnsi="仿宋" w:eastAsia="仿宋" w:cs="宋体"/>
          <w:color w:val="000000" w:themeColor="text1"/>
          <w:kern w:val="0"/>
          <w:sz w:val="32"/>
        </w:rPr>
        <w:t>2.供应商按比价结果排序。</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rPr>
      </w:pPr>
      <w:r>
        <w:rPr>
          <w:rFonts w:hint="eastAsia" w:ascii="仿宋" w:hAnsi="仿宋" w:eastAsia="仿宋" w:cs="宋体"/>
          <w:b/>
          <w:color w:val="000000" w:themeColor="text1"/>
          <w:sz w:val="30"/>
          <w:szCs w:val="30"/>
        </w:rPr>
        <w:t>三、投标人资质要求：</w:t>
      </w:r>
    </w:p>
    <w:p w14:paraId="35F03B54">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rPr>
      </w:pPr>
      <w:r>
        <w:rPr>
          <w:rFonts w:hint="eastAsia" w:ascii="仿宋" w:hAnsi="仿宋" w:eastAsia="仿宋"/>
          <w:color w:val="000000" w:themeColor="text1"/>
          <w:sz w:val="30"/>
          <w:szCs w:val="30"/>
        </w:rPr>
        <w:t>1.持有效的营业执照并有消防器材经营项目</w:t>
      </w:r>
      <w:r>
        <w:rPr>
          <w:rFonts w:hint="eastAsia" w:ascii="仿宋" w:hAnsi="仿宋" w:eastAsia="仿宋"/>
          <w:color w:val="000000" w:themeColor="text1"/>
          <w:sz w:val="30"/>
          <w:szCs w:val="30"/>
          <w:lang w:eastAsia="zh-CN"/>
        </w:rPr>
        <w:t>。</w:t>
      </w:r>
      <w:r>
        <w:rPr>
          <w:rFonts w:hint="eastAsia" w:ascii="仿宋" w:hAnsi="仿宋" w:eastAsia="仿宋"/>
          <w:color w:val="000000" w:themeColor="text1"/>
          <w:sz w:val="30"/>
          <w:szCs w:val="30"/>
          <w:lang w:val="en-US" w:eastAsia="zh-CN"/>
        </w:rPr>
        <w:t>如投标人不是公司法人需提供授权委托书和投标代理人身份证复印件（授权委托书和身份证复印件均需加盖公章）。</w:t>
      </w:r>
    </w:p>
    <w:p w14:paraId="34E844F6">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rPr>
      </w:pPr>
      <w:r>
        <w:rPr>
          <w:rFonts w:hint="eastAsia" w:ascii="仿宋" w:hAnsi="仿宋" w:eastAsia="仿宋"/>
          <w:color w:val="000000" w:themeColor="text1"/>
          <w:sz w:val="30"/>
          <w:szCs w:val="30"/>
          <w:lang w:val="en-US" w:eastAsia="zh-CN"/>
        </w:rPr>
        <w:t>2</w:t>
      </w:r>
      <w:r>
        <w:rPr>
          <w:rFonts w:hint="eastAsia" w:ascii="仿宋" w:hAnsi="仿宋" w:eastAsia="仿宋"/>
          <w:color w:val="000000" w:themeColor="text1"/>
          <w:sz w:val="30"/>
          <w:szCs w:val="30"/>
        </w:rPr>
        <w:t>.法律、行政法规规定的其他条件。</w:t>
      </w:r>
    </w:p>
    <w:p w14:paraId="66282EFC">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rPr>
      </w:pPr>
      <w:r>
        <w:rPr>
          <w:rFonts w:hint="eastAsia" w:ascii="仿宋" w:hAnsi="仿宋" w:eastAsia="仿宋"/>
          <w:color w:val="000000" w:themeColor="text1"/>
          <w:sz w:val="30"/>
          <w:szCs w:val="30"/>
          <w:lang w:val="en-US" w:eastAsia="zh-CN"/>
        </w:rPr>
        <w:t>3</w:t>
      </w:r>
      <w:r>
        <w:rPr>
          <w:rFonts w:hint="eastAsia" w:ascii="仿宋" w:hAnsi="仿宋" w:eastAsia="仿宋"/>
          <w:color w:val="000000" w:themeColor="text1"/>
          <w:sz w:val="30"/>
          <w:szCs w:val="30"/>
        </w:rPr>
        <w:t>.本项目不接受联合体投标，不得转包、分包。</w:t>
      </w:r>
    </w:p>
    <w:p w14:paraId="6AADA975">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color w:val="000000" w:themeColor="text1"/>
          <w:kern w:val="0"/>
          <w:sz w:val="32"/>
        </w:rPr>
      </w:pPr>
      <w:r>
        <w:rPr>
          <w:rFonts w:hint="eastAsia" w:ascii="仿宋" w:hAnsi="仿宋" w:eastAsia="仿宋"/>
          <w:color w:val="000000" w:themeColor="text1"/>
          <w:sz w:val="30"/>
          <w:szCs w:val="30"/>
          <w:lang w:val="en-US" w:eastAsia="zh-CN"/>
        </w:rPr>
        <w:t>4.</w:t>
      </w:r>
      <w:r>
        <w:rPr>
          <w:rFonts w:hint="eastAsia" w:ascii="仿宋" w:hAnsi="仿宋" w:eastAsia="仿宋"/>
          <w:color w:val="000000" w:themeColor="text1"/>
          <w:sz w:val="30"/>
          <w:szCs w:val="30"/>
        </w:rPr>
        <w:t>因消防设施的特殊性，</w:t>
      </w:r>
      <w:r>
        <w:rPr>
          <w:rFonts w:hint="eastAsia" w:ascii="仿宋" w:hAnsi="仿宋" w:eastAsia="仿宋"/>
          <w:color w:val="000000" w:themeColor="text1"/>
          <w:sz w:val="30"/>
          <w:szCs w:val="30"/>
          <w:lang w:val="en-US" w:eastAsia="zh-CN"/>
        </w:rPr>
        <w:t>供应商提供的产品在</w:t>
      </w:r>
      <w:r>
        <w:rPr>
          <w:rFonts w:hint="eastAsia" w:ascii="仿宋" w:hAnsi="仿宋" w:eastAsia="仿宋" w:cs="宋体"/>
          <w:sz w:val="30"/>
          <w:szCs w:val="30"/>
        </w:rPr>
        <w:t>质保期内出现故障，在规定时间1小时内到达现场维修或更换</w:t>
      </w:r>
      <w:r>
        <w:rPr>
          <w:rFonts w:hint="eastAsia" w:ascii="仿宋" w:hAnsi="仿宋" w:eastAsia="仿宋" w:cs="宋体"/>
          <w:sz w:val="30"/>
          <w:szCs w:val="30"/>
          <w:lang w:eastAsia="zh-CN"/>
        </w:rPr>
        <w:t>（</w:t>
      </w:r>
      <w:r>
        <w:rPr>
          <w:rFonts w:hint="eastAsia" w:ascii="仿宋" w:hAnsi="仿宋" w:eastAsia="仿宋" w:cs="宋体"/>
          <w:sz w:val="30"/>
          <w:szCs w:val="30"/>
          <w:lang w:val="en-US" w:eastAsia="zh-CN"/>
        </w:rPr>
        <w:t>提供备件）</w:t>
      </w:r>
      <w:r>
        <w:rPr>
          <w:rFonts w:hint="eastAsia" w:ascii="仿宋" w:hAnsi="仿宋" w:eastAsia="仿宋" w:cs="宋体"/>
          <w:sz w:val="30"/>
          <w:szCs w:val="30"/>
        </w:rPr>
        <w:t>，并在3小时内消除故障，并且中标方上门维修服务无次数限制。因产品质量问题造成的消防安全隐患及相关损失（</w:t>
      </w:r>
      <w:r>
        <w:rPr>
          <w:rFonts w:hint="eastAsia" w:ascii="仿宋" w:hAnsi="仿宋" w:eastAsia="仿宋" w:cs="宋体"/>
          <w:sz w:val="30"/>
          <w:szCs w:val="30"/>
          <w:lang w:val="en-US" w:eastAsia="zh-CN"/>
        </w:rPr>
        <w:t>消防设施因该产品质量问题造成的损失及</w:t>
      </w:r>
      <w:r>
        <w:rPr>
          <w:rFonts w:hint="eastAsia" w:ascii="仿宋" w:hAnsi="仿宋" w:eastAsia="仿宋" w:cs="宋体"/>
          <w:sz w:val="30"/>
          <w:szCs w:val="30"/>
        </w:rPr>
        <w:t>消防部门检查存在问题），由中标单位负全部责任（提供承诺书并加盖公章）。</w:t>
      </w:r>
    </w:p>
    <w:p w14:paraId="7053EE5F">
      <w:pPr>
        <w:adjustRightInd w:val="0"/>
        <w:spacing w:line="480" w:lineRule="exact"/>
        <w:ind w:firstLine="643" w:firstLineChars="200"/>
        <w:jc w:val="left"/>
        <w:rPr>
          <w:rFonts w:ascii="仿宋" w:hAnsi="仿宋" w:eastAsia="仿宋" w:cs="宋体"/>
          <w:color w:val="000000" w:themeColor="text1"/>
          <w:kern w:val="0"/>
          <w:sz w:val="32"/>
        </w:rPr>
      </w:pPr>
      <w:r>
        <w:rPr>
          <w:rFonts w:hint="eastAsia" w:ascii="仿宋" w:hAnsi="仿宋" w:eastAsia="仿宋" w:cs="宋体"/>
          <w:b/>
          <w:color w:val="000000" w:themeColor="text1"/>
          <w:kern w:val="0"/>
          <w:sz w:val="32"/>
          <w:lang w:val="en-US" w:eastAsia="zh-CN"/>
        </w:rPr>
        <w:t>四</w:t>
      </w:r>
      <w:r>
        <w:rPr>
          <w:rFonts w:hint="eastAsia" w:ascii="仿宋" w:hAnsi="仿宋" w:eastAsia="仿宋" w:cs="宋体"/>
          <w:b/>
          <w:color w:val="000000" w:themeColor="text1"/>
          <w:kern w:val="0"/>
          <w:sz w:val="32"/>
        </w:rPr>
        <w:t>、</w:t>
      </w:r>
      <w:r>
        <w:rPr>
          <w:rFonts w:hint="eastAsia" w:ascii="仿宋" w:hAnsi="仿宋" w:eastAsia="仿宋"/>
          <w:b/>
          <w:color w:val="000000" w:themeColor="text1"/>
          <w:sz w:val="32"/>
        </w:rPr>
        <w:t>资格审查方式及特殊情况说明：</w:t>
      </w:r>
    </w:p>
    <w:p w14:paraId="5B9C69C9">
      <w:pPr>
        <w:adjustRightInd w:val="0"/>
        <w:spacing w:line="480" w:lineRule="exact"/>
        <w:ind w:firstLine="640" w:firstLineChars="200"/>
        <w:jc w:val="left"/>
        <w:rPr>
          <w:rFonts w:ascii="仿宋" w:hAnsi="仿宋" w:eastAsia="仿宋" w:cs="宋体"/>
          <w:color w:val="000000" w:themeColor="text1"/>
          <w:kern w:val="0"/>
          <w:sz w:val="32"/>
        </w:rPr>
      </w:pPr>
      <w:r>
        <w:rPr>
          <w:rFonts w:hint="eastAsia" w:ascii="仿宋" w:hAnsi="仿宋" w:eastAsia="仿宋" w:cs="宋体"/>
          <w:color w:val="000000" w:themeColor="text1"/>
          <w:kern w:val="0"/>
          <w:sz w:val="32"/>
        </w:rPr>
        <w:t>1.本次采用资格后审方式。</w:t>
      </w:r>
    </w:p>
    <w:p w14:paraId="3A52E168">
      <w:pPr>
        <w:adjustRightInd w:val="0"/>
        <w:spacing w:line="480" w:lineRule="exact"/>
        <w:jc w:val="left"/>
        <w:rPr>
          <w:rFonts w:ascii="仿宋" w:hAnsi="仿宋" w:eastAsia="仿宋" w:cs="宋体"/>
          <w:color w:val="000000" w:themeColor="text1"/>
          <w:kern w:val="0"/>
          <w:sz w:val="32"/>
        </w:rPr>
      </w:pPr>
    </w:p>
    <w:p w14:paraId="4886751D">
      <w:pPr>
        <w:adjustRightInd w:val="0"/>
        <w:spacing w:line="480" w:lineRule="exact"/>
        <w:ind w:firstLine="640" w:firstLineChars="200"/>
        <w:jc w:val="left"/>
        <w:rPr>
          <w:rFonts w:ascii="仿宋" w:hAnsi="仿宋" w:eastAsia="仿宋" w:cs="宋体"/>
          <w:color w:val="000000" w:themeColor="text1"/>
          <w:kern w:val="0"/>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3FA96"/>
    <w:multiLevelType w:val="singleLevel"/>
    <w:tmpl w:val="7883FA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57C9F"/>
    <w:rsid w:val="00027BA0"/>
    <w:rsid w:val="0005673A"/>
    <w:rsid w:val="0008406B"/>
    <w:rsid w:val="000A21BD"/>
    <w:rsid w:val="000B4D6E"/>
    <w:rsid w:val="000D3719"/>
    <w:rsid w:val="000F30D4"/>
    <w:rsid w:val="00106896"/>
    <w:rsid w:val="001459F3"/>
    <w:rsid w:val="00146576"/>
    <w:rsid w:val="00157597"/>
    <w:rsid w:val="00190EF6"/>
    <w:rsid w:val="00193FED"/>
    <w:rsid w:val="001A2174"/>
    <w:rsid w:val="001B6C66"/>
    <w:rsid w:val="001E1E09"/>
    <w:rsid w:val="001F5C1F"/>
    <w:rsid w:val="002242C2"/>
    <w:rsid w:val="00236281"/>
    <w:rsid w:val="00256ECE"/>
    <w:rsid w:val="0026630A"/>
    <w:rsid w:val="00270F29"/>
    <w:rsid w:val="0029035C"/>
    <w:rsid w:val="002903A1"/>
    <w:rsid w:val="002A38AC"/>
    <w:rsid w:val="002A5343"/>
    <w:rsid w:val="002D0466"/>
    <w:rsid w:val="002E7EEE"/>
    <w:rsid w:val="00300623"/>
    <w:rsid w:val="00323227"/>
    <w:rsid w:val="0032723C"/>
    <w:rsid w:val="00333012"/>
    <w:rsid w:val="00334865"/>
    <w:rsid w:val="00352194"/>
    <w:rsid w:val="00357BCD"/>
    <w:rsid w:val="003749D1"/>
    <w:rsid w:val="003844B9"/>
    <w:rsid w:val="00387AA8"/>
    <w:rsid w:val="003A19AE"/>
    <w:rsid w:val="003B529C"/>
    <w:rsid w:val="003D0601"/>
    <w:rsid w:val="003D172B"/>
    <w:rsid w:val="003D1B9F"/>
    <w:rsid w:val="003F08D1"/>
    <w:rsid w:val="003F2058"/>
    <w:rsid w:val="00400DDC"/>
    <w:rsid w:val="004B72D2"/>
    <w:rsid w:val="004D0964"/>
    <w:rsid w:val="004E561E"/>
    <w:rsid w:val="00500407"/>
    <w:rsid w:val="00540625"/>
    <w:rsid w:val="005743BF"/>
    <w:rsid w:val="005A55DE"/>
    <w:rsid w:val="005C6408"/>
    <w:rsid w:val="00621DBA"/>
    <w:rsid w:val="00660E3B"/>
    <w:rsid w:val="0067132D"/>
    <w:rsid w:val="00696F6D"/>
    <w:rsid w:val="006A0813"/>
    <w:rsid w:val="006B36C8"/>
    <w:rsid w:val="006C78CE"/>
    <w:rsid w:val="006F3795"/>
    <w:rsid w:val="00715CE2"/>
    <w:rsid w:val="00721750"/>
    <w:rsid w:val="007263DA"/>
    <w:rsid w:val="00732736"/>
    <w:rsid w:val="00734384"/>
    <w:rsid w:val="00776A1C"/>
    <w:rsid w:val="00791268"/>
    <w:rsid w:val="007B3B8C"/>
    <w:rsid w:val="00854C7E"/>
    <w:rsid w:val="00860EC4"/>
    <w:rsid w:val="008769ED"/>
    <w:rsid w:val="008A6983"/>
    <w:rsid w:val="008C1B00"/>
    <w:rsid w:val="00907A7C"/>
    <w:rsid w:val="009621D6"/>
    <w:rsid w:val="009B2F0B"/>
    <w:rsid w:val="009E5118"/>
    <w:rsid w:val="009F0BEE"/>
    <w:rsid w:val="00A3078A"/>
    <w:rsid w:val="00A36FC2"/>
    <w:rsid w:val="00A54A1A"/>
    <w:rsid w:val="00A5533B"/>
    <w:rsid w:val="00A57C9F"/>
    <w:rsid w:val="00A75018"/>
    <w:rsid w:val="00A82FF9"/>
    <w:rsid w:val="00AD75F3"/>
    <w:rsid w:val="00B007B0"/>
    <w:rsid w:val="00B6716F"/>
    <w:rsid w:val="00B7363D"/>
    <w:rsid w:val="00B943F1"/>
    <w:rsid w:val="00BA5D63"/>
    <w:rsid w:val="00BD6D42"/>
    <w:rsid w:val="00BE4C4A"/>
    <w:rsid w:val="00BF648B"/>
    <w:rsid w:val="00C01808"/>
    <w:rsid w:val="00C22975"/>
    <w:rsid w:val="00C235CC"/>
    <w:rsid w:val="00C7714B"/>
    <w:rsid w:val="00CC37CD"/>
    <w:rsid w:val="00CC46E0"/>
    <w:rsid w:val="00CD4D75"/>
    <w:rsid w:val="00CD6453"/>
    <w:rsid w:val="00D225CF"/>
    <w:rsid w:val="00D35D8A"/>
    <w:rsid w:val="00D44C49"/>
    <w:rsid w:val="00D51D38"/>
    <w:rsid w:val="00D56C5A"/>
    <w:rsid w:val="00DF1509"/>
    <w:rsid w:val="00DF669C"/>
    <w:rsid w:val="00E200B7"/>
    <w:rsid w:val="00E45483"/>
    <w:rsid w:val="00E952DC"/>
    <w:rsid w:val="00EB08C9"/>
    <w:rsid w:val="00ED736A"/>
    <w:rsid w:val="00EF371B"/>
    <w:rsid w:val="00F161B2"/>
    <w:rsid w:val="00F31F27"/>
    <w:rsid w:val="00F3741C"/>
    <w:rsid w:val="00FC47EA"/>
    <w:rsid w:val="00FD3C08"/>
    <w:rsid w:val="01830099"/>
    <w:rsid w:val="03B22EB7"/>
    <w:rsid w:val="070F1174"/>
    <w:rsid w:val="09092088"/>
    <w:rsid w:val="10CE56DF"/>
    <w:rsid w:val="18817AF6"/>
    <w:rsid w:val="18F41B50"/>
    <w:rsid w:val="1CE91A9E"/>
    <w:rsid w:val="1D0429B3"/>
    <w:rsid w:val="22D54F50"/>
    <w:rsid w:val="2DF44DFF"/>
    <w:rsid w:val="2F1B3981"/>
    <w:rsid w:val="368A369C"/>
    <w:rsid w:val="3A012651"/>
    <w:rsid w:val="3A3C2EFF"/>
    <w:rsid w:val="41FE3FEA"/>
    <w:rsid w:val="42F425C9"/>
    <w:rsid w:val="42FA0A96"/>
    <w:rsid w:val="45321939"/>
    <w:rsid w:val="4555577B"/>
    <w:rsid w:val="46713F31"/>
    <w:rsid w:val="4828075C"/>
    <w:rsid w:val="56955A19"/>
    <w:rsid w:val="574216FD"/>
    <w:rsid w:val="662F76CD"/>
    <w:rsid w:val="66384DD9"/>
    <w:rsid w:val="75C949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table" w:styleId="7">
    <w:name w:val="Table Grid"/>
    <w:basedOn w:val="6"/>
    <w:qFormat/>
    <w:uiPriority w:val="59"/>
    <w:pPr>
      <w:spacing w:after="0"/>
    </w:pPr>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unhideWhenUsed/>
    <w:qFormat/>
    <w:uiPriority w:val="99"/>
    <w:pPr>
      <w:ind w:firstLine="420" w:firstLineChars="200"/>
    </w:pPr>
  </w:style>
  <w:style w:type="character" w:customStyle="1" w:styleId="10">
    <w:name w:val="批注框文本 Char"/>
    <w:basedOn w:val="8"/>
    <w:link w:val="2"/>
    <w:semiHidden/>
    <w:qFormat/>
    <w:uiPriority w:val="99"/>
    <w:rPr>
      <w:rFonts w:ascii="Times New Roman" w:hAnsi="Times New Roman" w:eastAsia="宋体" w:cs="Times New Roman"/>
      <w:sz w:val="18"/>
      <w:szCs w:val="18"/>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674</Words>
  <Characters>717</Characters>
  <Lines>2</Lines>
  <Paragraphs>1</Paragraphs>
  <TotalTime>3</TotalTime>
  <ScaleCrop>false</ScaleCrop>
  <LinksUpToDate>false</LinksUpToDate>
  <CharactersWithSpaces>748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2024-04-19T06:11:00Z</dcterms:created>
  <dc:creator>MM</dc:creator>
  <cp:lastModifiedBy>季云</cp:lastModifiedBy>
  <cp:lastPrinted>2025-11-04T09:10:00Z</cp:lastPrinted>
  <dcterms:modified xsi:type="dcterms:W3CDTF">2026-03-06T07:16:40Z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eyJoZGlkIjoiYjgyN2JlMDJjOGNhYWE5Yzc5Nzk2NGMwZTRmMTRkZGIiLCJ1c2VySWQiOiIyMjkxMjMzMzkifQ==</vt:lpwstr>
  </property>
  <property fmtid="{D5CDD505-2E9C-101B-9397-08002B2CF9AE}" pid="3" name="KSOProductBuildVer">
    <vt:lpwstr>2052-12.1.0.24657</vt:lpwstr>
  </property>
  <property fmtid="{D5CDD505-2E9C-101B-9397-08002B2CF9AE}" pid="4" name="ICV">
    <vt:lpwstr>1967CBF82E35416F888B4A46C264A548_12</vt:lpwstr>
  </property>
</Properties>
</file>