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CC5F7">
      <w:pPr>
        <w:ind w:left="2639" w:leftChars="209" w:hanging="2200" w:hangingChars="500"/>
        <w:jc w:val="both"/>
        <w:rPr>
          <w:rFonts w:ascii="方正小标宋简体" w:hAnsi="仿宋" w:eastAsia="方正小标宋简体"/>
          <w:sz w:val="44"/>
          <w:szCs w:val="44"/>
        </w:rPr>
      </w:pPr>
      <w:r>
        <w:rPr>
          <w:rFonts w:hint="eastAsia" w:ascii="方正小标宋简体" w:hAnsi="仿宋" w:eastAsia="方正小标宋简体"/>
          <w:sz w:val="44"/>
          <w:szCs w:val="44"/>
          <w:lang w:val="en-US" w:eastAsia="zh-CN"/>
        </w:rPr>
        <w:t>核医学科PET服务窗口增加移动玻璃窗</w:t>
      </w:r>
      <w:r>
        <w:rPr>
          <w:rFonts w:hint="eastAsia" w:ascii="方正小标宋简体" w:hAnsi="仿宋" w:eastAsia="方正小标宋简体"/>
          <w:sz w:val="44"/>
          <w:szCs w:val="44"/>
        </w:rPr>
        <w:t>项目比价方案</w:t>
      </w:r>
    </w:p>
    <w:p w14:paraId="3E9819C4">
      <w:pPr>
        <w:ind w:firstLine="600" w:firstLineChars="200"/>
        <w:rPr>
          <w:rFonts w:hint="default" w:ascii="仿宋" w:hAnsi="仿宋" w:eastAsia="仿宋"/>
          <w:sz w:val="30"/>
          <w:szCs w:val="30"/>
          <w:lang w:val="en-US" w:eastAsia="zh-CN"/>
        </w:rPr>
      </w:pPr>
      <w:r>
        <w:rPr>
          <w:rFonts w:hint="eastAsia" w:ascii="黑体" w:hAnsi="黑体" w:eastAsia="黑体"/>
          <w:sz w:val="30"/>
          <w:szCs w:val="30"/>
        </w:rPr>
        <w:t>一、项目名称</w:t>
      </w:r>
      <w:r>
        <w:rPr>
          <w:rFonts w:hint="eastAsia" w:ascii="仿宋" w:hAnsi="仿宋" w:eastAsia="仿宋"/>
          <w:sz w:val="30"/>
          <w:szCs w:val="30"/>
        </w:rPr>
        <w:t>：</w:t>
      </w:r>
      <w:r>
        <w:rPr>
          <w:rFonts w:hint="eastAsia" w:ascii="仿宋" w:hAnsi="仿宋" w:eastAsia="仿宋"/>
          <w:sz w:val="30"/>
          <w:szCs w:val="30"/>
          <w:lang w:val="en-US" w:eastAsia="zh-CN"/>
        </w:rPr>
        <w:t>核医学科PET服务窗口增加移动玻璃窗</w:t>
      </w:r>
    </w:p>
    <w:p w14:paraId="207E65F3">
      <w:pPr>
        <w:ind w:firstLine="600" w:firstLineChars="200"/>
        <w:rPr>
          <w:rFonts w:ascii="仿宋" w:hAnsi="仿宋" w:eastAsia="仿宋"/>
          <w:sz w:val="30"/>
          <w:szCs w:val="30"/>
        </w:rPr>
      </w:pPr>
      <w:r>
        <w:rPr>
          <w:rFonts w:hint="eastAsia" w:ascii="黑体" w:hAnsi="黑体" w:eastAsia="黑体"/>
          <w:sz w:val="30"/>
          <w:szCs w:val="30"/>
        </w:rPr>
        <w:t>二、项目概况及要求</w:t>
      </w:r>
      <w:r>
        <w:rPr>
          <w:rFonts w:hint="eastAsia" w:ascii="仿宋" w:hAnsi="仿宋" w:eastAsia="仿宋"/>
          <w:sz w:val="30"/>
          <w:szCs w:val="30"/>
        </w:rPr>
        <w:t>：</w:t>
      </w:r>
    </w:p>
    <w:p w14:paraId="11EA9608">
      <w:pPr>
        <w:ind w:firstLine="600" w:firstLineChars="200"/>
        <w:rPr>
          <w:rFonts w:hint="default" w:ascii="仿宋" w:hAnsi="仿宋" w:eastAsia="仿宋"/>
          <w:color w:val="000000" w:themeColor="text1"/>
          <w:sz w:val="30"/>
          <w:szCs w:val="30"/>
          <w:lang w:val="en-US" w:eastAsia="zh-CN"/>
          <w14:textFill>
            <w14:solidFill>
              <w14:schemeClr w14:val="tx1"/>
            </w14:solidFill>
          </w14:textFill>
        </w:rPr>
      </w:pPr>
      <w:r>
        <w:rPr>
          <w:rFonts w:hint="eastAsia" w:ascii="楷体" w:hAnsi="楷体" w:eastAsia="楷体"/>
          <w:sz w:val="30"/>
          <w:szCs w:val="30"/>
        </w:rPr>
        <w:t>㈠项目概况</w:t>
      </w:r>
      <w:r>
        <w:rPr>
          <w:rFonts w:hint="eastAsia" w:ascii="仿宋" w:hAnsi="仿宋" w:eastAsia="仿宋"/>
          <w:sz w:val="30"/>
          <w:szCs w:val="30"/>
        </w:rPr>
        <w:t>：</w:t>
      </w:r>
      <w:r>
        <w:rPr>
          <w:rFonts w:hint="eastAsia" w:ascii="仿宋" w:hAnsi="仿宋" w:eastAsia="仿宋"/>
          <w:sz w:val="30"/>
          <w:szCs w:val="30"/>
          <w:lang w:val="en-US" w:eastAsia="zh-CN"/>
        </w:rPr>
        <w:t>核医学科PET服务窗口为节能减排需增加移动玻璃窗。（具体工作量须自行现场勘查）。</w:t>
      </w:r>
    </w:p>
    <w:p w14:paraId="42998EDF">
      <w:pPr>
        <w:ind w:firstLine="600" w:firstLineChars="200"/>
        <w:rPr>
          <w:rFonts w:hint="eastAsia" w:ascii="仿宋" w:hAnsi="仿宋" w:eastAsia="仿宋"/>
          <w:sz w:val="30"/>
          <w:szCs w:val="30"/>
        </w:rPr>
      </w:pPr>
      <w:r>
        <w:rPr>
          <w:rFonts w:hint="eastAsia" w:ascii="楷体" w:hAnsi="楷体" w:eastAsia="楷体"/>
          <w:sz w:val="30"/>
          <w:szCs w:val="30"/>
        </w:rPr>
        <w:t>㈡施工要求</w:t>
      </w:r>
      <w:r>
        <w:rPr>
          <w:rFonts w:hint="eastAsia" w:ascii="仿宋" w:hAnsi="仿宋" w:eastAsia="仿宋"/>
          <w:sz w:val="30"/>
          <w:szCs w:val="30"/>
        </w:rPr>
        <w:t>：</w:t>
      </w:r>
    </w:p>
    <w:p w14:paraId="376082D1">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1.安装玻璃轨道（不锈钢）；</w:t>
      </w:r>
    </w:p>
    <w:p w14:paraId="534444CE">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2.制作安装固定式玻璃（灰色）；</w:t>
      </w:r>
    </w:p>
    <w:p w14:paraId="69DDF6FA">
      <w:pPr>
        <w:numPr>
          <w:ilvl w:val="0"/>
          <w:numId w:val="0"/>
        </w:num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3.制作安装可开启玻璃（白色）</w:t>
      </w:r>
    </w:p>
    <w:p w14:paraId="08EAC0ED">
      <w:pPr>
        <w:numPr>
          <w:ilvl w:val="0"/>
          <w:numId w:val="0"/>
        </w:numPr>
        <w:ind w:firstLine="600" w:firstLineChars="200"/>
        <w:rPr>
          <w:rFonts w:ascii="仿宋" w:hAnsi="仿宋" w:eastAsia="仿宋"/>
          <w:sz w:val="30"/>
          <w:szCs w:val="30"/>
          <w:lang w:val="zh-CN"/>
        </w:rPr>
      </w:pPr>
      <w:r>
        <w:rPr>
          <w:rFonts w:hint="eastAsia" w:ascii="仿宋" w:hAnsi="仿宋" w:eastAsia="仿宋" w:cs="仿宋"/>
          <w:sz w:val="30"/>
          <w:szCs w:val="30"/>
          <w:lang w:val="en-US" w:eastAsia="zh-CN"/>
        </w:rPr>
        <w:t>4.</w:t>
      </w:r>
      <w:r>
        <w:rPr>
          <w:rFonts w:hint="eastAsia" w:ascii="仿宋" w:hAnsi="仿宋" w:eastAsia="仿宋"/>
          <w:sz w:val="30"/>
          <w:szCs w:val="30"/>
          <w:lang w:val="zh-CN"/>
        </w:rPr>
        <w:t>施工过程中不得损坏任何设备，不得影响科室正常工作，尽可能减少噪音，</w:t>
      </w:r>
      <w:r>
        <w:rPr>
          <w:rFonts w:hint="eastAsia" w:ascii="仿宋" w:hAnsi="仿宋" w:eastAsia="仿宋"/>
          <w:sz w:val="30"/>
          <w:szCs w:val="30"/>
          <w:lang w:val="en-US" w:eastAsia="zh-CN"/>
        </w:rPr>
        <w:t>垃圾人工清理下楼外运。</w:t>
      </w:r>
    </w:p>
    <w:p w14:paraId="4BF65993">
      <w:pPr>
        <w:numPr>
          <w:ilvl w:val="0"/>
          <w:numId w:val="0"/>
        </w:numPr>
        <w:ind w:firstLine="600" w:firstLineChars="200"/>
        <w:rPr>
          <w:rFonts w:ascii="仿宋" w:hAnsi="仿宋" w:eastAsia="仿宋"/>
          <w:b/>
          <w:color w:val="000000" w:themeColor="text1"/>
          <w:sz w:val="30"/>
          <w:szCs w:val="30"/>
          <w14:textFill>
            <w14:solidFill>
              <w14:schemeClr w14:val="tx1"/>
            </w14:solidFill>
          </w14:textFill>
        </w:rPr>
      </w:pPr>
      <w:r>
        <w:rPr>
          <w:rFonts w:hint="eastAsia" w:ascii="仿宋" w:hAnsi="仿宋" w:eastAsia="仿宋" w:cs="仿宋"/>
          <w:sz w:val="30"/>
          <w:szCs w:val="30"/>
          <w:lang w:val="en-US" w:eastAsia="zh-CN"/>
        </w:rPr>
        <w:t>5.施工时，施工人员安全及施工场所人员安全由施工方负责，和施工单位没有任何关系。</w:t>
      </w:r>
    </w:p>
    <w:p w14:paraId="0A8B5B44">
      <w:pPr>
        <w:ind w:firstLine="600" w:firstLineChars="200"/>
        <w:rPr>
          <w:rFonts w:ascii="仿宋" w:hAnsi="仿宋" w:eastAsia="仿宋"/>
          <w:sz w:val="30"/>
          <w:szCs w:val="30"/>
        </w:rPr>
      </w:pPr>
      <w:r>
        <w:rPr>
          <w:rFonts w:hint="eastAsia" w:ascii="楷体" w:hAnsi="楷体" w:eastAsia="楷体"/>
          <w:sz w:val="30"/>
          <w:szCs w:val="30"/>
          <w:lang w:eastAsia="zh-CN"/>
        </w:rPr>
        <w:t>（</w:t>
      </w:r>
      <w:r>
        <w:rPr>
          <w:rFonts w:hint="eastAsia" w:ascii="楷体" w:hAnsi="楷体" w:eastAsia="楷体"/>
          <w:sz w:val="30"/>
          <w:szCs w:val="30"/>
          <w:lang w:val="en-US" w:eastAsia="zh-CN"/>
        </w:rPr>
        <w:t>三</w:t>
      </w:r>
      <w:r>
        <w:rPr>
          <w:rFonts w:hint="eastAsia" w:ascii="楷体" w:hAnsi="楷体" w:eastAsia="楷体"/>
          <w:sz w:val="30"/>
          <w:szCs w:val="30"/>
          <w:lang w:eastAsia="zh-CN"/>
        </w:rPr>
        <w:t>）</w:t>
      </w:r>
      <w:r>
        <w:rPr>
          <w:rFonts w:hint="eastAsia" w:ascii="楷体" w:hAnsi="楷体" w:eastAsia="楷体"/>
          <w:sz w:val="30"/>
          <w:szCs w:val="30"/>
        </w:rPr>
        <w:t>费用结算</w:t>
      </w:r>
      <w:r>
        <w:rPr>
          <w:rFonts w:hint="eastAsia" w:ascii="仿宋" w:hAnsi="仿宋" w:eastAsia="仿宋"/>
          <w:sz w:val="30"/>
          <w:szCs w:val="30"/>
        </w:rPr>
        <w:t>：</w:t>
      </w:r>
    </w:p>
    <w:p w14:paraId="4738D879">
      <w:pPr>
        <w:ind w:firstLine="600" w:firstLineChars="200"/>
        <w:rPr>
          <w:rFonts w:ascii="仿宋" w:hAnsi="仿宋" w:eastAsia="仿宋"/>
          <w:sz w:val="30"/>
          <w:szCs w:val="30"/>
        </w:rPr>
      </w:pPr>
      <w:r>
        <w:rPr>
          <w:rFonts w:hint="eastAsia" w:ascii="仿宋" w:hAnsi="仿宋" w:eastAsia="仿宋"/>
          <w:sz w:val="30"/>
          <w:szCs w:val="30"/>
        </w:rPr>
        <w:t>1.投标报价为一口价，包含整个项目中产生</w:t>
      </w:r>
      <w:r>
        <w:rPr>
          <w:rFonts w:hint="eastAsia" w:ascii="仿宋" w:hAnsi="仿宋" w:eastAsia="仿宋"/>
          <w:sz w:val="30"/>
          <w:szCs w:val="30"/>
          <w:lang w:eastAsia="zh-CN"/>
        </w:rPr>
        <w:t>的</w:t>
      </w:r>
      <w:r>
        <w:rPr>
          <w:rFonts w:hint="eastAsia" w:ascii="仿宋" w:hAnsi="仿宋" w:eastAsia="仿宋"/>
          <w:sz w:val="30"/>
          <w:szCs w:val="30"/>
        </w:rPr>
        <w:t>所有费用。</w:t>
      </w:r>
    </w:p>
    <w:p w14:paraId="319684A6">
      <w:pPr>
        <w:ind w:firstLine="600" w:firstLineChars="200"/>
        <w:rPr>
          <w:rFonts w:ascii="仿宋" w:hAnsi="仿宋" w:eastAsia="仿宋"/>
          <w:sz w:val="30"/>
          <w:szCs w:val="30"/>
        </w:rPr>
      </w:pPr>
      <w:r>
        <w:rPr>
          <w:rFonts w:hint="eastAsia" w:ascii="仿宋" w:hAnsi="仿宋" w:eastAsia="仿宋"/>
          <w:sz w:val="30"/>
          <w:szCs w:val="30"/>
        </w:rPr>
        <w:t>2.施工结束，经验收合格，</w:t>
      </w:r>
      <w:r>
        <w:rPr>
          <w:rFonts w:hint="eastAsia" w:ascii="仿宋" w:hAnsi="仿宋" w:eastAsia="仿宋"/>
          <w:sz w:val="30"/>
          <w:szCs w:val="30"/>
          <w:lang w:val="en-US" w:eastAsia="zh-CN"/>
        </w:rPr>
        <w:t>3个月后</w:t>
      </w:r>
      <w:r>
        <w:rPr>
          <w:rFonts w:hint="eastAsia" w:ascii="仿宋" w:hAnsi="仿宋" w:eastAsia="仿宋"/>
          <w:sz w:val="30"/>
          <w:szCs w:val="30"/>
        </w:rPr>
        <w:t>付款</w:t>
      </w:r>
      <w:r>
        <w:rPr>
          <w:rFonts w:hint="eastAsia" w:ascii="仿宋" w:hAnsi="仿宋" w:eastAsia="仿宋"/>
          <w:sz w:val="30"/>
          <w:szCs w:val="30"/>
          <w:lang w:eastAsia="zh-CN"/>
        </w:rPr>
        <w:t>（</w:t>
      </w:r>
      <w:r>
        <w:rPr>
          <w:rFonts w:hint="eastAsia" w:ascii="仿宋" w:hAnsi="仿宋" w:eastAsia="仿宋"/>
          <w:sz w:val="30"/>
          <w:szCs w:val="30"/>
          <w:lang w:val="en-US" w:eastAsia="zh-CN"/>
        </w:rPr>
        <w:t>质保期两年</w:t>
      </w:r>
      <w:r>
        <w:rPr>
          <w:rFonts w:hint="eastAsia" w:ascii="仿宋" w:hAnsi="仿宋" w:eastAsia="仿宋"/>
          <w:sz w:val="30"/>
          <w:szCs w:val="30"/>
          <w:lang w:eastAsia="zh-CN"/>
        </w:rPr>
        <w:t>）</w:t>
      </w:r>
      <w:r>
        <w:rPr>
          <w:rFonts w:hint="eastAsia" w:ascii="仿宋" w:hAnsi="仿宋" w:eastAsia="仿宋"/>
          <w:sz w:val="30"/>
          <w:szCs w:val="30"/>
        </w:rPr>
        <w:t>。</w:t>
      </w:r>
    </w:p>
    <w:p w14:paraId="4CBF8CBE">
      <w:pPr>
        <w:ind w:firstLine="600" w:firstLineChars="200"/>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中标单位中标后因故不能完成或</w:t>
      </w:r>
      <w:r>
        <w:rPr>
          <w:rFonts w:hint="eastAsia" w:ascii="仿宋" w:hAnsi="仿宋" w:eastAsia="仿宋"/>
          <w:sz w:val="30"/>
          <w:szCs w:val="30"/>
        </w:rPr>
        <w:t>质保期内未能及时响应且给招标单位造成不良后果的将被列入黑名单，不再允许参加招标单位各类招标项目。</w:t>
      </w:r>
    </w:p>
    <w:p w14:paraId="42688BDB">
      <w:pPr>
        <w:ind w:firstLine="600" w:firstLineChars="200"/>
        <w:rPr>
          <w:rFonts w:ascii="仿宋" w:hAnsi="仿宋" w:eastAsia="仿宋"/>
          <w:sz w:val="30"/>
          <w:szCs w:val="30"/>
        </w:rPr>
      </w:pPr>
      <w:r>
        <w:rPr>
          <w:rFonts w:hint="eastAsia" w:ascii="黑体" w:hAnsi="黑体" w:eastAsia="黑体"/>
          <w:sz w:val="30"/>
          <w:szCs w:val="30"/>
        </w:rPr>
        <w:t>三、投标人资质要求</w:t>
      </w:r>
      <w:r>
        <w:rPr>
          <w:rFonts w:hint="eastAsia" w:ascii="仿宋" w:hAnsi="仿宋" w:eastAsia="仿宋"/>
          <w:sz w:val="30"/>
          <w:szCs w:val="30"/>
        </w:rPr>
        <w:t>：</w:t>
      </w:r>
    </w:p>
    <w:p w14:paraId="56A462C9">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1.持有效的营业执照，经营范围包含本项目的内容（做过类似项目的公司可优先考虑）;</w:t>
      </w:r>
    </w:p>
    <w:p w14:paraId="70B5CD36">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2.本项目不接受联合体投标，不得转包、分包；</w:t>
      </w:r>
    </w:p>
    <w:p w14:paraId="6CE18099">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3.法律、行政法规规定的其他条件。</w:t>
      </w:r>
    </w:p>
    <w:p w14:paraId="57729DB2">
      <w:pPr>
        <w:adjustRightInd w:val="0"/>
        <w:spacing w:line="480" w:lineRule="exact"/>
        <w:ind w:firstLine="602" w:firstLineChars="200"/>
        <w:jc w:val="left"/>
        <w:rPr>
          <w:rFonts w:ascii="仿宋" w:hAnsi="仿宋" w:eastAsia="仿宋"/>
          <w:color w:val="000000"/>
          <w:sz w:val="30"/>
          <w:szCs w:val="30"/>
        </w:rPr>
      </w:pPr>
      <w:r>
        <w:rPr>
          <w:rFonts w:hint="eastAsia" w:ascii="仿宋" w:hAnsi="仿宋" w:eastAsia="仿宋"/>
          <w:b/>
          <w:color w:val="000000"/>
          <w:sz w:val="30"/>
          <w:szCs w:val="30"/>
        </w:rPr>
        <w:t>四、资格审查方式及特殊情况说明：</w:t>
      </w:r>
    </w:p>
    <w:p w14:paraId="737CF45C">
      <w:pPr>
        <w:adjustRightInd w:val="0"/>
        <w:spacing w:line="50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本次采用资格后审方式。</w:t>
      </w:r>
    </w:p>
    <w:p w14:paraId="4597C62C">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EBC1B51">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2.满足询价文件实质性要求的单位数量仅有2家的，则现场转变采购方式，采用竞争性谈判的采购方式，确定中标单位。</w:t>
      </w:r>
    </w:p>
    <w:p w14:paraId="1BAD3D33">
      <w:pPr>
        <w:pStyle w:val="5"/>
        <w:shd w:val="clear" w:color="auto" w:fill="FFFFFF"/>
        <w:spacing w:before="0" w:beforeAutospacing="0" w:after="0" w:afterAutospacing="0" w:line="500" w:lineRule="exact"/>
        <w:ind w:firstLine="600" w:firstLineChars="200"/>
        <w:rPr>
          <w:rFonts w:ascii="仿宋" w:hAnsi="仿宋" w:eastAsia="仿宋"/>
          <w:sz w:val="30"/>
          <w:szCs w:val="30"/>
        </w:rPr>
      </w:pPr>
      <w:r>
        <w:rPr>
          <w:rFonts w:hint="eastAsia" w:ascii="仿宋" w:hAnsi="仿宋" w:eastAsia="仿宋"/>
          <w:sz w:val="30"/>
          <w:szCs w:val="30"/>
        </w:rPr>
        <w:t>3.满足询价文件实质性要求的单位数量仅有1家的，则现场转变采购方式，采用单一来源谈判的采购方式，确定中标单位。</w:t>
      </w:r>
    </w:p>
    <w:p w14:paraId="30257518">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r>
        <w:rPr>
          <w:rFonts w:hint="eastAsia" w:ascii="仿宋" w:hAnsi="仿宋" w:eastAsia="仿宋"/>
          <w:b/>
          <w:color w:val="000000"/>
          <w:kern w:val="2"/>
          <w:sz w:val="30"/>
          <w:szCs w:val="30"/>
        </w:rPr>
        <w:t>五、项目控制价为</w:t>
      </w:r>
      <w:r>
        <w:rPr>
          <w:rFonts w:hint="eastAsia" w:ascii="仿宋" w:hAnsi="仿宋" w:eastAsia="仿宋"/>
          <w:b/>
          <w:color w:val="000000"/>
          <w:kern w:val="2"/>
          <w:sz w:val="30"/>
          <w:szCs w:val="30"/>
          <w:lang w:val="en-US" w:eastAsia="zh-CN"/>
        </w:rPr>
        <w:t>1200</w:t>
      </w:r>
      <w:r>
        <w:rPr>
          <w:rFonts w:hint="eastAsia" w:ascii="仿宋" w:hAnsi="仿宋" w:eastAsia="仿宋"/>
          <w:b/>
          <w:color w:val="000000"/>
          <w:kern w:val="2"/>
          <w:sz w:val="30"/>
          <w:szCs w:val="30"/>
        </w:rPr>
        <w:t>元，报价不得高于控制价。</w:t>
      </w:r>
    </w:p>
    <w:p w14:paraId="194EEA47">
      <w:pPr>
        <w:adjustRightInd w:val="0"/>
        <w:spacing w:line="480" w:lineRule="exact"/>
        <w:jc w:val="left"/>
        <w:rPr>
          <w:rFonts w:hint="eastAsia" w:ascii="仿宋" w:hAnsi="仿宋" w:eastAsia="仿宋"/>
          <w:sz w:val="32"/>
          <w:szCs w:val="32"/>
          <w:lang w:eastAsia="zh-CN"/>
        </w:rPr>
      </w:pPr>
    </w:p>
    <w:p w14:paraId="61CE2151">
      <w:pPr>
        <w:adjustRightInd w:val="0"/>
        <w:spacing w:line="480" w:lineRule="exact"/>
        <w:jc w:val="left"/>
        <w:rPr>
          <w:rFonts w:hint="default" w:ascii="仿宋" w:hAnsi="仿宋" w:eastAsia="仿宋"/>
          <w:sz w:val="32"/>
          <w:szCs w:val="32"/>
          <w:lang w:val="en-US" w:eastAsia="zh-CN"/>
        </w:rPr>
      </w:pPr>
      <w:r>
        <w:rPr>
          <w:rFonts w:hint="eastAsia" w:ascii="仿宋" w:hAnsi="仿宋" w:eastAsia="仿宋"/>
          <w:sz w:val="32"/>
          <w:szCs w:val="32"/>
          <w:lang w:val="en-US" w:eastAsia="zh-CN"/>
        </w:rPr>
        <w:t>附：报价清单</w:t>
      </w:r>
    </w:p>
    <w:p w14:paraId="09A8FF68">
      <w:pPr>
        <w:adjustRightInd w:val="0"/>
        <w:spacing w:line="480" w:lineRule="exact"/>
        <w:jc w:val="left"/>
        <w:rPr>
          <w:rFonts w:hint="eastAsia" w:ascii="仿宋" w:hAnsi="仿宋" w:eastAsia="仿宋"/>
          <w:sz w:val="32"/>
          <w:szCs w:val="32"/>
          <w:lang w:eastAsia="zh-CN"/>
        </w:rPr>
      </w:pPr>
    </w:p>
    <w:tbl>
      <w:tblPr>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96"/>
        <w:gridCol w:w="1359"/>
        <w:gridCol w:w="3443"/>
        <w:gridCol w:w="578"/>
        <w:gridCol w:w="936"/>
        <w:gridCol w:w="708"/>
        <w:gridCol w:w="709"/>
      </w:tblGrid>
      <w:tr w14:paraId="697A3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0" w:type="auto"/>
            <w:gridSpan w:val="7"/>
            <w:tcBorders>
              <w:top w:val="single" w:color="000000" w:sz="4" w:space="0"/>
              <w:left w:val="single" w:color="000000" w:sz="4" w:space="0"/>
              <w:bottom w:val="single" w:color="000000" w:sz="4" w:space="0"/>
              <w:right w:val="single" w:color="000000" w:sz="4" w:space="0"/>
            </w:tcBorders>
            <w:shd w:val="clear"/>
            <w:noWrap/>
            <w:vAlign w:val="center"/>
          </w:tcPr>
          <w:p w14:paraId="50F7F5C0">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bdr w:val="none" w:color="auto" w:sz="0" w:space="0"/>
                <w:lang w:val="en-US" w:eastAsia="zh-CN" w:bidi="ar"/>
              </w:rPr>
              <w:t>肿瘤1楼PET-CT窗口玻璃报价单</w:t>
            </w:r>
          </w:p>
        </w:tc>
      </w:tr>
      <w:tr w14:paraId="765C0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6F5490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20E556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项目名称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325BD5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项目特征描述</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7C2BF1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计量</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1C1EC7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工程量</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B6FDE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金额（元）</w:t>
            </w:r>
          </w:p>
        </w:tc>
      </w:tr>
      <w:tr w14:paraId="1D62C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480F6842">
            <w:pPr>
              <w:jc w:val="center"/>
              <w:rPr>
                <w:rFonts w:hint="eastAsia" w:ascii="仿宋" w:hAnsi="仿宋" w:eastAsia="仿宋" w:cs="仿宋"/>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3B42AA24">
            <w:pPr>
              <w:jc w:val="center"/>
              <w:rPr>
                <w:rFonts w:hint="eastAsia" w:ascii="仿宋" w:hAnsi="仿宋" w:eastAsia="仿宋" w:cs="仿宋"/>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597E6F78">
            <w:pPr>
              <w:jc w:val="center"/>
              <w:rPr>
                <w:rFonts w:hint="eastAsia" w:ascii="仿宋" w:hAnsi="仿宋" w:eastAsia="仿宋" w:cs="仿宋"/>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08B8CD82">
            <w:pPr>
              <w:jc w:val="center"/>
              <w:rPr>
                <w:rFonts w:hint="eastAsia" w:ascii="仿宋" w:hAnsi="仿宋" w:eastAsia="仿宋" w:cs="仿宋"/>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54E4AF82">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53096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综合</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C51D6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小计</w:t>
            </w:r>
          </w:p>
        </w:tc>
      </w:tr>
      <w:tr w14:paraId="146F3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BACD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7BAD6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玻璃轨道安装</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A4E514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1、材质：定制不锈钢轨道（适配窗口尺寸）</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2、规格：双轨宽度适配12mm玻璃</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3、工艺：轨道定位→螺丝固定/专用胶粘贴</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C1BA4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AE12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8B2CF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3C343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20E77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BB3C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D9D91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窗口玻璃</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制作安装</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（固定式）</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D3F108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1、名称：灰色单层玻璃（厚度12mm）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2、规格：380×280</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3、特性：透光率≥85%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3FBC2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8E57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0DD5F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FB58E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27407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96D0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C1D5B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窗口玻璃</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制作安装</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（可开启）</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C3FDBF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1、名称：白色单层玻璃（厚度5mm带开启把手）</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2、规格：380×280</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3、特性：透光率≥90%，适配推拉开启</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4CAD3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610E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08430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A2EC3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41F65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457C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95D3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辅材</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B5F46A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1、材料：粘结剂、玻璃润滑脂、美纹纸、清洁液等</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2、适配：符合医院室内环保标准，无异味</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73D42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955D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5F797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D4605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630A2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63282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总计</w:t>
            </w:r>
          </w:p>
        </w:tc>
        <w:tc>
          <w:tcPr>
            <w:tcW w:w="0" w:type="auto"/>
            <w:gridSpan w:val="3"/>
            <w:tcBorders>
              <w:top w:val="single" w:color="000000" w:sz="4" w:space="0"/>
              <w:left w:val="single" w:color="000000" w:sz="4" w:space="0"/>
              <w:bottom w:val="single" w:color="000000" w:sz="4" w:space="0"/>
              <w:right w:val="nil"/>
            </w:tcBorders>
            <w:shd w:val="clear"/>
            <w:noWrap/>
            <w:vAlign w:val="center"/>
          </w:tcPr>
          <w:p w14:paraId="7B40FC77">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bookmarkStart w:id="0" w:name="_GoBack"/>
            <w:bookmarkEnd w:id="0"/>
          </w:p>
        </w:tc>
        <w:tc>
          <w:tcPr>
            <w:tcW w:w="0" w:type="auto"/>
            <w:tcBorders>
              <w:top w:val="single" w:color="000000" w:sz="4" w:space="0"/>
              <w:left w:val="nil"/>
              <w:bottom w:val="single" w:color="000000" w:sz="4" w:space="0"/>
              <w:right w:val="single" w:color="000000" w:sz="4" w:space="0"/>
            </w:tcBorders>
            <w:shd w:val="clear"/>
            <w:noWrap/>
            <w:vAlign w:val="center"/>
          </w:tcPr>
          <w:p w14:paraId="514800E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元</w:t>
            </w:r>
          </w:p>
        </w:tc>
      </w:tr>
    </w:tbl>
    <w:p w14:paraId="00A01ACA">
      <w:pPr>
        <w:adjustRightInd w:val="0"/>
        <w:spacing w:line="600" w:lineRule="auto"/>
        <w:jc w:val="left"/>
        <w:rPr>
          <w:rFonts w:hint="eastAsia" w:ascii="仿宋" w:hAnsi="仿宋" w:eastAsia="仿宋"/>
          <w:sz w:val="32"/>
          <w:szCs w:val="32"/>
          <w:lang w:eastAsia="zh-CN"/>
        </w:rPr>
      </w:pPr>
    </w:p>
    <w:p w14:paraId="48B5ADB8">
      <w:pPr>
        <w:rPr>
          <w:rFonts w:hint="default" w:ascii="仿宋" w:hAnsi="仿宋" w:eastAsia="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 w:name="楷体">
    <w:panose1 w:val="02010609060101010101"/>
    <w:charset w:val="86"/>
    <w:family w:val="modern"/>
    <w:pitch w:val="default"/>
    <w:sig w:usb0="800002BF" w:usb1="38CF7CFA" w:usb2="00000016" w:usb3="00000000" w:csb0="00040001" w:csb1="00000000"/>
  </w:font>
  <w:font w:name="KSOF4B1AA1F4">
    <w:panose1 w:val="020B0604020202020204"/>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NDFmNjFlZGIyZDA0ZmU3MzZlOGM5OGM3NWEzMTgifQ=="/>
  </w:docVars>
  <w:rsids>
    <w:rsidRoot w:val="0031711A"/>
    <w:rsid w:val="000515FA"/>
    <w:rsid w:val="000620EC"/>
    <w:rsid w:val="000758B0"/>
    <w:rsid w:val="00122C46"/>
    <w:rsid w:val="00187E40"/>
    <w:rsid w:val="00217086"/>
    <w:rsid w:val="002B7183"/>
    <w:rsid w:val="002C154F"/>
    <w:rsid w:val="0031711A"/>
    <w:rsid w:val="00365FE6"/>
    <w:rsid w:val="00395F45"/>
    <w:rsid w:val="003B6AAE"/>
    <w:rsid w:val="004D1CA9"/>
    <w:rsid w:val="004F0D7C"/>
    <w:rsid w:val="005662E9"/>
    <w:rsid w:val="00575542"/>
    <w:rsid w:val="0058599D"/>
    <w:rsid w:val="00586D4A"/>
    <w:rsid w:val="00592BC5"/>
    <w:rsid w:val="005C748B"/>
    <w:rsid w:val="006A6780"/>
    <w:rsid w:val="006B3E13"/>
    <w:rsid w:val="00726112"/>
    <w:rsid w:val="007604DF"/>
    <w:rsid w:val="00764063"/>
    <w:rsid w:val="00770051"/>
    <w:rsid w:val="007C48A3"/>
    <w:rsid w:val="00853282"/>
    <w:rsid w:val="00881874"/>
    <w:rsid w:val="008E46E0"/>
    <w:rsid w:val="009322F1"/>
    <w:rsid w:val="00994A71"/>
    <w:rsid w:val="009A2C33"/>
    <w:rsid w:val="009C4D5D"/>
    <w:rsid w:val="009D102C"/>
    <w:rsid w:val="00A03209"/>
    <w:rsid w:val="00A31BF8"/>
    <w:rsid w:val="00A517E8"/>
    <w:rsid w:val="00A627AE"/>
    <w:rsid w:val="00B424F1"/>
    <w:rsid w:val="00B66E34"/>
    <w:rsid w:val="00B94145"/>
    <w:rsid w:val="00BB6BF5"/>
    <w:rsid w:val="00BE1956"/>
    <w:rsid w:val="00BF39E4"/>
    <w:rsid w:val="00C230B2"/>
    <w:rsid w:val="00C82A33"/>
    <w:rsid w:val="00C92B37"/>
    <w:rsid w:val="00CE2025"/>
    <w:rsid w:val="00D67147"/>
    <w:rsid w:val="00D6775E"/>
    <w:rsid w:val="00DB1355"/>
    <w:rsid w:val="00DC5BC7"/>
    <w:rsid w:val="00DD7ECF"/>
    <w:rsid w:val="00E8391C"/>
    <w:rsid w:val="00E928C7"/>
    <w:rsid w:val="00F05153"/>
    <w:rsid w:val="00F55C88"/>
    <w:rsid w:val="00F91C75"/>
    <w:rsid w:val="00FB295B"/>
    <w:rsid w:val="00FE74EC"/>
    <w:rsid w:val="01002534"/>
    <w:rsid w:val="01B1298B"/>
    <w:rsid w:val="02944B48"/>
    <w:rsid w:val="03EB4716"/>
    <w:rsid w:val="06E32B73"/>
    <w:rsid w:val="09C67499"/>
    <w:rsid w:val="0ABD5BA0"/>
    <w:rsid w:val="0CA131CD"/>
    <w:rsid w:val="0F413746"/>
    <w:rsid w:val="0FA80C02"/>
    <w:rsid w:val="11E91552"/>
    <w:rsid w:val="1407008B"/>
    <w:rsid w:val="16562A58"/>
    <w:rsid w:val="17B92F10"/>
    <w:rsid w:val="19EA4802"/>
    <w:rsid w:val="1A436089"/>
    <w:rsid w:val="1D7E47CC"/>
    <w:rsid w:val="1EE92A08"/>
    <w:rsid w:val="21294361"/>
    <w:rsid w:val="21BD09EA"/>
    <w:rsid w:val="24877D1C"/>
    <w:rsid w:val="261F562C"/>
    <w:rsid w:val="268E37D0"/>
    <w:rsid w:val="2927562A"/>
    <w:rsid w:val="2A284628"/>
    <w:rsid w:val="2A61691A"/>
    <w:rsid w:val="2C5E172E"/>
    <w:rsid w:val="2DB97E61"/>
    <w:rsid w:val="2DD56FC0"/>
    <w:rsid w:val="2FC736C3"/>
    <w:rsid w:val="302F00B3"/>
    <w:rsid w:val="31791459"/>
    <w:rsid w:val="33B06877"/>
    <w:rsid w:val="33D62F2A"/>
    <w:rsid w:val="33D91C17"/>
    <w:rsid w:val="383E1A38"/>
    <w:rsid w:val="38807B07"/>
    <w:rsid w:val="389F10A1"/>
    <w:rsid w:val="38F018EE"/>
    <w:rsid w:val="396D003B"/>
    <w:rsid w:val="3B4535CA"/>
    <w:rsid w:val="3C28163E"/>
    <w:rsid w:val="40217FC5"/>
    <w:rsid w:val="446D2B52"/>
    <w:rsid w:val="47D37BB9"/>
    <w:rsid w:val="495C4EE9"/>
    <w:rsid w:val="49A07E3F"/>
    <w:rsid w:val="4B105AC6"/>
    <w:rsid w:val="4B4F092F"/>
    <w:rsid w:val="4BFB3039"/>
    <w:rsid w:val="50914CAD"/>
    <w:rsid w:val="50C36A0F"/>
    <w:rsid w:val="54574A59"/>
    <w:rsid w:val="559D5D6A"/>
    <w:rsid w:val="57FA7A08"/>
    <w:rsid w:val="5A1E41A4"/>
    <w:rsid w:val="5BB45DCE"/>
    <w:rsid w:val="5DFB43B4"/>
    <w:rsid w:val="5F2B74DB"/>
    <w:rsid w:val="5F4E5B29"/>
    <w:rsid w:val="644B741C"/>
    <w:rsid w:val="64E87C67"/>
    <w:rsid w:val="65385D05"/>
    <w:rsid w:val="67D01153"/>
    <w:rsid w:val="69F03EBF"/>
    <w:rsid w:val="6C0C37CF"/>
    <w:rsid w:val="6D0D7C60"/>
    <w:rsid w:val="6D6C185A"/>
    <w:rsid w:val="6E557E91"/>
    <w:rsid w:val="6F532332"/>
    <w:rsid w:val="72694E43"/>
    <w:rsid w:val="73BD0A2D"/>
    <w:rsid w:val="79A64EB0"/>
    <w:rsid w:val="7C3D2E30"/>
    <w:rsid w:val="7D736EF5"/>
    <w:rsid w:val="7D9E19A0"/>
    <w:rsid w:val="7E026C41"/>
    <w:rsid w:val="7F7249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6" w:lineRule="atLeast"/>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批注框文本 Char"/>
    <w:basedOn w:val="8"/>
    <w:link w:val="2"/>
    <w:semiHidden/>
    <w:qFormat/>
    <w:uiPriority w:val="99"/>
    <w:rPr>
      <w:sz w:val="18"/>
      <w:szCs w:val="18"/>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font21"/>
    <w:basedOn w:val="8"/>
    <w:qFormat/>
    <w:uiPriority w:val="0"/>
    <w:rPr>
      <w:rFonts w:hint="eastAsia" w:ascii="仿宋" w:hAnsi="仿宋" w:eastAsia="仿宋" w:cs="仿宋"/>
      <w:color w:val="000000"/>
      <w:sz w:val="24"/>
      <w:szCs w:val="24"/>
      <w:u w:val="none"/>
    </w:rPr>
  </w:style>
  <w:style w:type="character" w:customStyle="1" w:styleId="14">
    <w:name w:val="font31"/>
    <w:basedOn w:val="8"/>
    <w:qFormat/>
    <w:uiPriority w:val="0"/>
    <w:rPr>
      <w:rFonts w:hint="eastAsia" w:ascii="宋体" w:hAnsi="宋体" w:eastAsia="宋体" w:cs="宋体"/>
      <w:color w:val="000000"/>
      <w:sz w:val="24"/>
      <w:szCs w:val="24"/>
      <w:u w:val="none"/>
    </w:rPr>
  </w:style>
  <w:style w:type="character" w:customStyle="1" w:styleId="15">
    <w:name w:val="font11"/>
    <w:basedOn w:val="8"/>
    <w:qFormat/>
    <w:uiPriority w:val="0"/>
    <w:rPr>
      <w:rFonts w:hint="eastAsia" w:ascii="黑体" w:hAnsi="宋体" w:eastAsia="黑体" w:cs="黑体"/>
      <w:color w:val="000000"/>
      <w:sz w:val="40"/>
      <w:szCs w:val="40"/>
      <w:u w:val="none"/>
    </w:rPr>
  </w:style>
  <w:style w:type="character" w:customStyle="1" w:styleId="16">
    <w:name w:val="font81"/>
    <w:basedOn w:val="8"/>
    <w:qFormat/>
    <w:uiPriority w:val="0"/>
    <w:rPr>
      <w:rFonts w:hint="eastAsia" w:ascii="黑体" w:hAnsi="宋体" w:eastAsia="黑体" w:cs="黑体"/>
      <w:color w:val="000000"/>
      <w:sz w:val="22"/>
      <w:szCs w:val="22"/>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61"/>
    <w:basedOn w:val="8"/>
    <w:qFormat/>
    <w:uiPriority w:val="0"/>
    <w:rPr>
      <w:rFonts w:hint="eastAsia" w:ascii="宋体" w:hAnsi="宋体" w:eastAsia="宋体" w:cs="宋体"/>
      <w:b/>
      <w:bCs/>
      <w:color w:val="000000"/>
      <w:sz w:val="20"/>
      <w:szCs w:val="20"/>
      <w:u w:val="none"/>
    </w:rPr>
  </w:style>
  <w:style w:type="character" w:customStyle="1" w:styleId="19">
    <w:name w:val="font71"/>
    <w:basedOn w:val="8"/>
    <w:qFormat/>
    <w:uiPriority w:val="0"/>
    <w:rPr>
      <w:rFonts w:hint="eastAsia" w:ascii="宋体" w:hAnsi="宋体" w:eastAsia="宋体" w:cs="宋体"/>
      <w:color w:val="000000"/>
      <w:sz w:val="21"/>
      <w:szCs w:val="21"/>
      <w:u w:val="none"/>
    </w:rPr>
  </w:style>
  <w:style w:type="character" w:customStyle="1" w:styleId="20">
    <w:name w:val="font51"/>
    <w:basedOn w:val="8"/>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1201</Words>
  <Characters>1256</Characters>
  <Lines>8</Lines>
  <Paragraphs>2</Paragraphs>
  <TotalTime>7</TotalTime>
  <ScaleCrop>false</ScaleCrop>
  <LinksUpToDate>false</LinksUpToDate>
  <CharactersWithSpaces>1256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2023-05-09T02:20:00Z</dcterms:created>
  <dc:creator>b a</dc:creator>
  <cp:lastModifiedBy>完定福</cp:lastModifiedBy>
  <cp:lastPrinted>2026-01-30T01:01:00Z</cp:lastPrinted>
  <dcterms:modified xsi:type="dcterms:W3CDTF">2026-02-02T07:10:30Z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C8F4115A59BC4270820B3F23D0F8385E_13</vt:lpwstr>
  </property>
  <property fmtid="{D5CDD505-2E9C-101B-9397-08002B2CF9AE}" pid="4" name="KSOTemplateDocerSaveRecord">
    <vt:lpwstr>eyJoZGlkIjoiNzdlMDVkNDYwYmZkNTE5NGQ0ZTdiYzI2ZDFhMjhiMWQiLCJ1c2VySWQiOiI4MDQyODQ1MTkifQ==</vt:lpwstr>
  </property>
</Properties>
</file>