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EE" w:rsidRDefault="003D6F63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江苏大学附属医院</w:t>
      </w:r>
      <w:r>
        <w:rPr>
          <w:rFonts w:ascii="方正小标宋简体" w:eastAsia="方正小标宋简体" w:hAnsi="仿宋" w:hint="eastAsia"/>
          <w:sz w:val="44"/>
          <w:szCs w:val="44"/>
        </w:rPr>
        <w:t>食堂门前水杉树修剪加固项目</w:t>
      </w:r>
      <w:r>
        <w:rPr>
          <w:rFonts w:ascii="方正小标宋简体" w:eastAsia="方正小标宋简体" w:hAnsi="仿宋" w:hint="eastAsia"/>
          <w:sz w:val="44"/>
          <w:szCs w:val="44"/>
        </w:rPr>
        <w:t>询价意向书</w:t>
      </w:r>
    </w:p>
    <w:p w:rsidR="009C72EE" w:rsidRDefault="003D6F63">
      <w:pPr>
        <w:pStyle w:val="a9"/>
        <w:numPr>
          <w:ilvl w:val="0"/>
          <w:numId w:val="1"/>
        </w:numPr>
        <w:adjustRightInd w:val="0"/>
        <w:ind w:left="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项目名称：</w:t>
      </w:r>
      <w:r>
        <w:rPr>
          <w:rFonts w:ascii="仿宋" w:eastAsia="仿宋" w:hAnsi="仿宋" w:hint="eastAsia"/>
          <w:sz w:val="30"/>
          <w:szCs w:val="30"/>
        </w:rPr>
        <w:t>江苏大学附属医院</w:t>
      </w:r>
      <w:r>
        <w:rPr>
          <w:rFonts w:ascii="仿宋" w:eastAsia="仿宋" w:hAnsi="仿宋" w:hint="eastAsia"/>
          <w:sz w:val="30"/>
          <w:szCs w:val="30"/>
        </w:rPr>
        <w:t>食堂门前水杉树修剪加固项目</w:t>
      </w:r>
    </w:p>
    <w:p w:rsidR="009C72EE" w:rsidRDefault="003D6F63">
      <w:pPr>
        <w:pStyle w:val="a9"/>
        <w:numPr>
          <w:ilvl w:val="0"/>
          <w:numId w:val="1"/>
        </w:numPr>
        <w:adjustRightInd w:val="0"/>
        <w:ind w:left="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概况及要求：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kern w:val="0"/>
          <w:sz w:val="30"/>
          <w:szCs w:val="30"/>
        </w:rPr>
        <w:t>因需在食堂门前花圃内安装电力环网柜，电力环网柜土建基础施工时，因花圃内的一棵水杉树较高，有傾倒风险。为确保安全，需对此水杉树进行修剪降低高度并加固。</w:t>
      </w:r>
    </w:p>
    <w:p w:rsidR="009C72EE" w:rsidRDefault="003D6F63" w:rsidP="00680ABB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2.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>服务工作内容</w:t>
      </w:r>
      <w:r>
        <w:rPr>
          <w:rFonts w:ascii="仿宋" w:eastAsia="仿宋" w:hAnsi="仿宋" w:cs="宋体" w:hint="eastAsia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kern w:val="0"/>
          <w:sz w:val="30"/>
          <w:szCs w:val="30"/>
        </w:rPr>
        <w:t>中标单位负责准备</w:t>
      </w:r>
      <w:r>
        <w:rPr>
          <w:rFonts w:ascii="仿宋" w:eastAsia="仿宋" w:hAnsi="仿宋" w:cs="宋体" w:hint="eastAsia"/>
          <w:kern w:val="0"/>
          <w:sz w:val="30"/>
          <w:szCs w:val="30"/>
        </w:rPr>
        <w:t>人员设备</w:t>
      </w:r>
      <w:r>
        <w:rPr>
          <w:rFonts w:ascii="仿宋" w:eastAsia="仿宋" w:hAnsi="仿宋" w:cs="宋体" w:hint="eastAsia"/>
          <w:kern w:val="0"/>
          <w:sz w:val="30"/>
          <w:szCs w:val="30"/>
        </w:rPr>
        <w:t>到现场进行</w:t>
      </w:r>
      <w:r>
        <w:rPr>
          <w:rFonts w:ascii="仿宋" w:eastAsia="仿宋" w:hAnsi="仿宋" w:cs="宋体" w:hint="eastAsia"/>
          <w:kern w:val="0"/>
          <w:sz w:val="30"/>
          <w:szCs w:val="30"/>
        </w:rPr>
        <w:t>水杉树进行修剪降低高度并加固</w:t>
      </w:r>
      <w:r>
        <w:rPr>
          <w:rFonts w:ascii="仿宋" w:eastAsia="仿宋" w:hAnsi="仿宋" w:cs="宋体"/>
          <w:kern w:val="0"/>
          <w:sz w:val="30"/>
          <w:szCs w:val="30"/>
        </w:rPr>
        <w:t>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3. </w:t>
      </w:r>
      <w:r>
        <w:rPr>
          <w:rFonts w:ascii="仿宋" w:eastAsia="仿宋" w:hAnsi="仿宋" w:cs="宋体" w:hint="eastAsia"/>
          <w:kern w:val="0"/>
          <w:sz w:val="30"/>
          <w:szCs w:val="30"/>
        </w:rPr>
        <w:t>中标单位必须对本项目配备专职项目负责人。</w:t>
      </w:r>
      <w:r>
        <w:rPr>
          <w:rFonts w:ascii="仿宋" w:eastAsia="仿宋" w:hAnsi="仿宋" w:cs="宋体" w:hint="eastAsia"/>
          <w:kern w:val="0"/>
          <w:sz w:val="30"/>
          <w:szCs w:val="30"/>
        </w:rPr>
        <w:t>修剪</w:t>
      </w:r>
      <w:r>
        <w:rPr>
          <w:rFonts w:ascii="仿宋" w:eastAsia="仿宋" w:hAnsi="仿宋" w:cs="宋体" w:hint="eastAsia"/>
          <w:kern w:val="0"/>
          <w:sz w:val="30"/>
          <w:szCs w:val="30"/>
        </w:rPr>
        <w:t>作业期间，中标单位项目负责人全程负责现场安全</w:t>
      </w:r>
      <w:r>
        <w:rPr>
          <w:rFonts w:ascii="仿宋" w:eastAsia="仿宋" w:hAnsi="仿宋" w:cs="宋体" w:hint="eastAsia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kern w:val="0"/>
          <w:sz w:val="30"/>
          <w:szCs w:val="30"/>
        </w:rPr>
        <w:t>修剪</w:t>
      </w:r>
      <w:r>
        <w:rPr>
          <w:rFonts w:ascii="仿宋" w:eastAsia="仿宋" w:hAnsi="仿宋" w:cs="宋体" w:hint="eastAsia"/>
          <w:kern w:val="0"/>
          <w:sz w:val="30"/>
          <w:szCs w:val="30"/>
        </w:rPr>
        <w:t>作业</w:t>
      </w:r>
      <w:r>
        <w:rPr>
          <w:rFonts w:ascii="仿宋" w:eastAsia="仿宋" w:hAnsi="仿宋" w:cs="宋体" w:hint="eastAsia"/>
          <w:kern w:val="0"/>
          <w:sz w:val="30"/>
          <w:szCs w:val="30"/>
        </w:rPr>
        <w:t>时间根据医院实际情况，安排在晚间</w:t>
      </w:r>
      <w:r>
        <w:rPr>
          <w:rFonts w:ascii="仿宋" w:eastAsia="仿宋" w:hAnsi="仿宋" w:cs="宋体" w:hint="eastAsia"/>
          <w:kern w:val="0"/>
          <w:sz w:val="30"/>
          <w:szCs w:val="30"/>
        </w:rPr>
        <w:t>作业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5. 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施工方案</w:t>
      </w:r>
      <w:r>
        <w:rPr>
          <w:rFonts w:ascii="仿宋" w:eastAsia="仿宋" w:hAnsi="仿宋" w:hint="eastAsia"/>
          <w:sz w:val="30"/>
          <w:szCs w:val="30"/>
        </w:rPr>
        <w:t>现场踏勘测量（联系人：尤工</w:t>
      </w:r>
      <w:r>
        <w:rPr>
          <w:rFonts w:ascii="仿宋" w:eastAsia="仿宋" w:hAnsi="仿宋" w:hint="eastAsia"/>
          <w:sz w:val="30"/>
          <w:szCs w:val="30"/>
        </w:rPr>
        <w:t>13656133003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. 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</w:t>
      </w:r>
      <w:r>
        <w:rPr>
          <w:rFonts w:ascii="仿宋" w:eastAsia="仿宋" w:hAnsi="仿宋" w:cs="宋体"/>
          <w:kern w:val="0"/>
          <w:sz w:val="30"/>
          <w:szCs w:val="30"/>
        </w:rPr>
        <w:t>期：</w:t>
      </w:r>
      <w:r>
        <w:rPr>
          <w:rFonts w:ascii="仿宋" w:eastAsia="仿宋" w:hAnsi="仿宋" w:cs="宋体" w:hint="eastAsia"/>
          <w:kern w:val="0"/>
          <w:sz w:val="30"/>
          <w:szCs w:val="30"/>
        </w:rPr>
        <w:t>壹年（以验收之日起计）。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. </w:t>
      </w:r>
      <w:r>
        <w:rPr>
          <w:rFonts w:ascii="仿宋" w:eastAsia="仿宋" w:hAnsi="仿宋" w:cs="宋体" w:hint="eastAsia"/>
          <w:kern w:val="0"/>
          <w:sz w:val="30"/>
          <w:szCs w:val="30"/>
        </w:rPr>
        <w:t>计划工期为</w:t>
      </w:r>
      <w:r>
        <w:rPr>
          <w:rFonts w:ascii="仿宋" w:eastAsia="仿宋" w:hAnsi="仿宋" w:cs="宋体" w:hint="eastAsia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个工作日，具体作业安排以招标方</w:t>
      </w:r>
      <w:r>
        <w:rPr>
          <w:rFonts w:ascii="仿宋" w:eastAsia="仿宋" w:hAnsi="仿宋" w:cs="宋体" w:hint="eastAsia"/>
          <w:kern w:val="0"/>
          <w:sz w:val="30"/>
          <w:szCs w:val="30"/>
        </w:rPr>
        <w:t>时间</w:t>
      </w:r>
      <w:r>
        <w:rPr>
          <w:rFonts w:ascii="仿宋" w:eastAsia="仿宋" w:hAnsi="仿宋" w:cs="宋体" w:hint="eastAsia"/>
          <w:kern w:val="0"/>
          <w:sz w:val="30"/>
          <w:szCs w:val="30"/>
        </w:rPr>
        <w:t>情况而定。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kern w:val="0"/>
          <w:sz w:val="30"/>
          <w:szCs w:val="30"/>
        </w:rPr>
        <w:t>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</w:t>
      </w:r>
      <w:r>
        <w:rPr>
          <w:rFonts w:ascii="仿宋" w:eastAsia="仿宋" w:hAnsi="仿宋" w:cs="宋体" w:hint="eastAsia"/>
          <w:kern w:val="0"/>
          <w:sz w:val="30"/>
          <w:szCs w:val="30"/>
        </w:rPr>
        <w:t>招标方及招标方监理确认无傾倒风险。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kern w:val="0"/>
          <w:sz w:val="30"/>
          <w:szCs w:val="30"/>
        </w:rPr>
        <w:t>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费用结算：验收合格，</w:t>
      </w:r>
      <w:r>
        <w:rPr>
          <w:rFonts w:ascii="仿宋" w:eastAsia="仿宋" w:hAnsi="仿宋" w:cs="宋体" w:hint="eastAsia"/>
          <w:kern w:val="0"/>
          <w:sz w:val="30"/>
          <w:szCs w:val="30"/>
        </w:rPr>
        <w:t>三个月内</w:t>
      </w:r>
      <w:r>
        <w:rPr>
          <w:rFonts w:ascii="仿宋" w:eastAsia="仿宋" w:hAnsi="仿宋" w:cs="宋体" w:hint="eastAsia"/>
          <w:kern w:val="0"/>
          <w:sz w:val="30"/>
          <w:szCs w:val="30"/>
        </w:rPr>
        <w:t>支付全部价款。</w:t>
      </w:r>
    </w:p>
    <w:p w:rsidR="009C72EE" w:rsidRDefault="003D6F63">
      <w:pPr>
        <w:adjustRightInd w:val="0"/>
        <w:ind w:left="0"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三、投标人资质要求：</w:t>
      </w:r>
    </w:p>
    <w:p w:rsidR="009C72EE" w:rsidRDefault="003D6F63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1. </w:t>
      </w:r>
      <w:r>
        <w:rPr>
          <w:rFonts w:ascii="仿宋" w:eastAsia="仿宋" w:hAnsi="仿宋" w:hint="eastAsia"/>
          <w:sz w:val="30"/>
          <w:szCs w:val="30"/>
        </w:rPr>
        <w:t>投标</w:t>
      </w:r>
      <w:r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 w:hint="eastAsia"/>
          <w:sz w:val="30"/>
          <w:szCs w:val="30"/>
        </w:rPr>
        <w:t>必须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持有效的营业执照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hint="eastAsia"/>
          <w:sz w:val="30"/>
          <w:szCs w:val="30"/>
        </w:rPr>
        <w:t>经营范围包含本项目的内容。</w:t>
      </w:r>
    </w:p>
    <w:p w:rsidR="009C72EE" w:rsidRDefault="003D6F63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法律、行政法规规定的其他条件。</w:t>
      </w:r>
    </w:p>
    <w:p w:rsidR="009C72EE" w:rsidRDefault="003D6F63">
      <w:pPr>
        <w:adjustRightInd w:val="0"/>
        <w:ind w:left="0"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kern w:val="0"/>
          <w:sz w:val="30"/>
          <w:szCs w:val="30"/>
        </w:rPr>
        <w:t>.</w:t>
      </w:r>
      <w:r>
        <w:rPr>
          <w:rFonts w:ascii="仿宋" w:eastAsia="仿宋" w:hAnsi="仿宋" w:cs="宋体" w:hint="eastAsia"/>
          <w:kern w:val="0"/>
          <w:sz w:val="30"/>
          <w:szCs w:val="30"/>
        </w:rPr>
        <w:t>本项目不接受联合体投标，不得转包、分包。</w:t>
      </w:r>
    </w:p>
    <w:p w:rsidR="009C72EE" w:rsidRDefault="003D6F63">
      <w:pPr>
        <w:adjustRightInd w:val="0"/>
        <w:ind w:left="0"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四、资格审查方式及特殊情况说明：</w:t>
      </w:r>
    </w:p>
    <w:p w:rsidR="009C72EE" w:rsidRDefault="003D6F63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本次采用资格后审方式。</w:t>
      </w:r>
    </w:p>
    <w:p w:rsidR="009C72EE" w:rsidRDefault="003D6F63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家及以上的，公开询价采购，由最低报价的投标单位中标。若最低报价的投标单位有两家及以上，则现场采用二次报价方式，确定中标单位。</w:t>
      </w:r>
    </w:p>
    <w:p w:rsidR="009C72EE" w:rsidRDefault="003D6F63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家的，则现场转变采购方式，采用竞争性谈判的采购方式，确定中标单位。</w:t>
      </w:r>
    </w:p>
    <w:p w:rsidR="009C72EE" w:rsidRDefault="003D6F63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9C72EE" w:rsidRDefault="003D6F63" w:rsidP="00680ABB">
      <w:pPr>
        <w:pStyle w:val="a9"/>
        <w:adjustRightInd w:val="0"/>
        <w:ind w:leftChars="200" w:left="4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项目控制价为</w:t>
      </w:r>
      <w:r>
        <w:rPr>
          <w:rFonts w:ascii="仿宋" w:eastAsia="仿宋" w:hAnsi="仿宋" w:hint="eastAsia"/>
          <w:b/>
          <w:sz w:val="30"/>
          <w:szCs w:val="30"/>
        </w:rPr>
        <w:t>6000</w:t>
      </w:r>
      <w:r>
        <w:rPr>
          <w:rFonts w:ascii="仿宋" w:eastAsia="仿宋" w:hAnsi="仿宋" w:hint="eastAsia"/>
          <w:b/>
          <w:sz w:val="30"/>
          <w:szCs w:val="30"/>
        </w:rPr>
        <w:t>元，报价不得高于控制价。</w:t>
      </w: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602" w:hangingChars="200" w:hanging="602"/>
        <w:rPr>
          <w:rFonts w:ascii="仿宋" w:eastAsia="仿宋" w:hAnsi="仿宋"/>
          <w:b/>
          <w:sz w:val="30"/>
          <w:szCs w:val="30"/>
        </w:rPr>
      </w:pP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602" w:hangingChars="200" w:hanging="602"/>
        <w:rPr>
          <w:rFonts w:ascii="仿宋" w:eastAsia="仿宋" w:hAnsi="仿宋"/>
          <w:b/>
          <w:sz w:val="30"/>
          <w:szCs w:val="30"/>
        </w:rPr>
      </w:pP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602" w:hangingChars="200" w:hanging="602"/>
        <w:rPr>
          <w:rFonts w:ascii="仿宋" w:eastAsia="仿宋" w:hAnsi="仿宋"/>
          <w:b/>
          <w:sz w:val="30"/>
          <w:szCs w:val="30"/>
        </w:rPr>
      </w:pP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602" w:hangingChars="200" w:hanging="602"/>
        <w:rPr>
          <w:rFonts w:ascii="仿宋" w:eastAsia="仿宋" w:hAnsi="仿宋"/>
          <w:b/>
          <w:sz w:val="30"/>
          <w:szCs w:val="30"/>
        </w:rPr>
      </w:pP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="0"/>
        <w:rPr>
          <w:rFonts w:ascii="仿宋" w:eastAsia="仿宋" w:hAnsi="仿宋"/>
          <w:b/>
          <w:sz w:val="30"/>
          <w:szCs w:val="30"/>
        </w:rPr>
      </w:pP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="0"/>
        <w:rPr>
          <w:rFonts w:ascii="仿宋" w:eastAsia="仿宋" w:hAnsi="仿宋"/>
          <w:b/>
          <w:sz w:val="30"/>
          <w:szCs w:val="30"/>
        </w:rPr>
      </w:pP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="0"/>
        <w:rPr>
          <w:rFonts w:ascii="仿宋" w:eastAsia="仿宋" w:hAnsi="仿宋" w:hint="eastAsia"/>
          <w:b/>
          <w:sz w:val="30"/>
          <w:szCs w:val="30"/>
        </w:rPr>
      </w:pPr>
    </w:p>
    <w:p w:rsidR="00680ABB" w:rsidRDefault="00680ABB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="0"/>
        <w:rPr>
          <w:rFonts w:ascii="仿宋" w:eastAsia="仿宋" w:hAnsi="仿宋"/>
          <w:b/>
          <w:sz w:val="30"/>
          <w:szCs w:val="30"/>
        </w:rPr>
      </w:pPr>
    </w:p>
    <w:p w:rsidR="009C72EE" w:rsidRDefault="003D6F63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报价清单附后：</w:t>
      </w: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602" w:hangingChars="200" w:hanging="602"/>
        <w:rPr>
          <w:rFonts w:ascii="仿宋" w:eastAsia="仿宋" w:hAnsi="仿宋"/>
          <w:b/>
          <w:sz w:val="30"/>
          <w:szCs w:val="30"/>
        </w:rPr>
      </w:pPr>
    </w:p>
    <w:tbl>
      <w:tblPr>
        <w:tblStyle w:val="a8"/>
        <w:tblW w:w="8755" w:type="dxa"/>
        <w:tblLayout w:type="fixed"/>
        <w:tblLook w:val="04A0"/>
      </w:tblPr>
      <w:tblGrid>
        <w:gridCol w:w="541"/>
        <w:gridCol w:w="1110"/>
        <w:gridCol w:w="990"/>
        <w:gridCol w:w="1710"/>
        <w:gridCol w:w="390"/>
        <w:gridCol w:w="975"/>
        <w:gridCol w:w="629"/>
        <w:gridCol w:w="781"/>
        <w:gridCol w:w="1629"/>
      </w:tblGrid>
      <w:tr w:rsidR="009C72EE">
        <w:trPr>
          <w:trHeight w:val="767"/>
        </w:trPr>
        <w:tc>
          <w:tcPr>
            <w:tcW w:w="8755" w:type="dxa"/>
            <w:gridSpan w:val="9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9C72EE">
        <w:trPr>
          <w:trHeight w:val="1013"/>
        </w:trPr>
        <w:tc>
          <w:tcPr>
            <w:tcW w:w="1651" w:type="dxa"/>
            <w:gridSpan w:val="2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3090" w:type="dxa"/>
            <w:gridSpan w:val="3"/>
            <w:vAlign w:val="center"/>
          </w:tcPr>
          <w:p w:rsidR="009C72EE" w:rsidRDefault="003D6F63">
            <w:pPr>
              <w:ind w:left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食堂门前水杉树修剪加固项目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报价单位</w:t>
            </w:r>
          </w:p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72EE">
        <w:trPr>
          <w:trHeight w:val="785"/>
        </w:trPr>
        <w:tc>
          <w:tcPr>
            <w:tcW w:w="541" w:type="dxa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2100" w:type="dxa"/>
            <w:gridSpan w:val="2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710" w:type="dxa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合价</w:t>
            </w:r>
          </w:p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</w:tc>
      </w:tr>
      <w:tr w:rsidR="009C72EE">
        <w:trPr>
          <w:trHeight w:val="616"/>
        </w:trPr>
        <w:tc>
          <w:tcPr>
            <w:tcW w:w="541" w:type="dxa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100" w:type="dxa"/>
            <w:gridSpan w:val="2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水杉树修剪加固</w:t>
            </w:r>
          </w:p>
        </w:tc>
        <w:tc>
          <w:tcPr>
            <w:tcW w:w="1710" w:type="dxa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72EE">
        <w:trPr>
          <w:trHeight w:val="616"/>
        </w:trPr>
        <w:tc>
          <w:tcPr>
            <w:tcW w:w="541" w:type="dxa"/>
            <w:vAlign w:val="center"/>
          </w:tcPr>
          <w:p w:rsidR="009C72EE" w:rsidRDefault="003D6F63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2100" w:type="dxa"/>
            <w:gridSpan w:val="2"/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9C72EE" w:rsidRDefault="009C72EE">
            <w:pPr>
              <w:ind w:left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72EE">
        <w:trPr>
          <w:trHeight w:val="687"/>
        </w:trPr>
        <w:tc>
          <w:tcPr>
            <w:tcW w:w="8755" w:type="dxa"/>
            <w:gridSpan w:val="9"/>
          </w:tcPr>
          <w:p w:rsidR="009C72EE" w:rsidRDefault="003D6F63">
            <w:pPr>
              <w:ind w:left="0" w:firstLine="0"/>
              <w:jc w:val="left"/>
              <w:rPr>
                <w:rFonts w:ascii="仿宋" w:eastAsia="仿宋" w:hAnsi="仿宋"/>
                <w:b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(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含税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)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：元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(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大写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)</w:t>
            </w:r>
          </w:p>
        </w:tc>
      </w:tr>
      <w:tr w:rsidR="009C72EE">
        <w:trPr>
          <w:trHeight w:val="451"/>
        </w:trPr>
        <w:tc>
          <w:tcPr>
            <w:tcW w:w="1651" w:type="dxa"/>
            <w:gridSpan w:val="2"/>
          </w:tcPr>
          <w:p w:rsidR="009C72EE" w:rsidRDefault="003D6F63">
            <w:pPr>
              <w:ind w:left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编制说明：</w:t>
            </w:r>
          </w:p>
        </w:tc>
        <w:tc>
          <w:tcPr>
            <w:tcW w:w="7104" w:type="dxa"/>
            <w:gridSpan w:val="7"/>
          </w:tcPr>
          <w:p w:rsidR="009C72EE" w:rsidRDefault="003D6F63">
            <w:pPr>
              <w:ind w:left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本项目总价含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、人工、税等所有费用。</w:t>
            </w:r>
          </w:p>
          <w:p w:rsidR="009C72EE" w:rsidRDefault="003D6F63">
            <w:pPr>
              <w:ind w:left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发生任何安全事故与招标单位无关。</w:t>
            </w:r>
          </w:p>
        </w:tc>
      </w:tr>
    </w:tbl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600" w:hangingChars="200" w:hanging="600"/>
        <w:rPr>
          <w:rFonts w:ascii="仿宋" w:eastAsia="仿宋" w:hAnsi="仿宋"/>
          <w:sz w:val="30"/>
          <w:szCs w:val="30"/>
        </w:rPr>
      </w:pPr>
    </w:p>
    <w:p w:rsidR="009C72EE" w:rsidRDefault="009C72EE">
      <w:pPr>
        <w:pStyle w:val="a7"/>
        <w:shd w:val="clear" w:color="auto" w:fill="FFFFFF"/>
        <w:adjustRightInd w:val="0"/>
        <w:spacing w:before="0" w:beforeAutospacing="0" w:after="0" w:afterAutospacing="0" w:line="486" w:lineRule="atLeast"/>
        <w:ind w:left="602" w:hangingChars="200" w:hanging="602"/>
        <w:rPr>
          <w:rFonts w:ascii="仿宋" w:eastAsia="仿宋" w:hAnsi="仿宋"/>
          <w:b/>
          <w:sz w:val="30"/>
          <w:szCs w:val="30"/>
        </w:rPr>
      </w:pPr>
    </w:p>
    <w:sectPr w:rsidR="009C72EE" w:rsidSect="009C72E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F63" w:rsidRDefault="003D6F63" w:rsidP="009C72EE">
      <w:r>
        <w:separator/>
      </w:r>
    </w:p>
  </w:endnote>
  <w:endnote w:type="continuationSeparator" w:id="1">
    <w:p w:rsidR="003D6F63" w:rsidRDefault="003D6F63" w:rsidP="009C7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8360375"/>
    </w:sdtPr>
    <w:sdtContent>
      <w:sdt>
        <w:sdtPr>
          <w:id w:val="171357217"/>
        </w:sdtPr>
        <w:sdtContent>
          <w:p w:rsidR="009C72EE" w:rsidRDefault="009C72E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D6F6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0AB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3D6F6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D6F6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0AB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72EE" w:rsidRDefault="009C72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F63" w:rsidRDefault="003D6F63" w:rsidP="009C72EE">
      <w:r>
        <w:separator/>
      </w:r>
    </w:p>
  </w:footnote>
  <w:footnote w:type="continuationSeparator" w:id="1">
    <w:p w:rsidR="003D6F63" w:rsidRDefault="003D6F63" w:rsidP="009C7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7338"/>
    <w:multiLevelType w:val="multilevel"/>
    <w:tmpl w:val="3BDB7338"/>
    <w:lvl w:ilvl="0">
      <w:start w:val="1"/>
      <w:numFmt w:val="japaneseCounting"/>
      <w:lvlText w:val="%1、"/>
      <w:lvlJc w:val="left"/>
      <w:pPr>
        <w:ind w:left="600" w:hanging="60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hZDVjODE2ZDE5MzdiMGZhM2UxN2RiYWJmM2E4NjcifQ=="/>
  </w:docVars>
  <w:rsids>
    <w:rsidRoot w:val="005579F5"/>
    <w:rsid w:val="00005CD7"/>
    <w:rsid w:val="000102D8"/>
    <w:rsid w:val="00011BA2"/>
    <w:rsid w:val="00026B95"/>
    <w:rsid w:val="00053980"/>
    <w:rsid w:val="000632CA"/>
    <w:rsid w:val="00071A4B"/>
    <w:rsid w:val="00086575"/>
    <w:rsid w:val="000C5BAE"/>
    <w:rsid w:val="000F12CB"/>
    <w:rsid w:val="000F22D2"/>
    <w:rsid w:val="00136802"/>
    <w:rsid w:val="001842AF"/>
    <w:rsid w:val="00194817"/>
    <w:rsid w:val="001A7208"/>
    <w:rsid w:val="001B0AC2"/>
    <w:rsid w:val="001D08AB"/>
    <w:rsid w:val="001E3A8F"/>
    <w:rsid w:val="001E5F6D"/>
    <w:rsid w:val="001F4C0C"/>
    <w:rsid w:val="00201E27"/>
    <w:rsid w:val="00224502"/>
    <w:rsid w:val="00226398"/>
    <w:rsid w:val="002454B2"/>
    <w:rsid w:val="00266608"/>
    <w:rsid w:val="00281F5B"/>
    <w:rsid w:val="00297230"/>
    <w:rsid w:val="002A5964"/>
    <w:rsid w:val="002B6C81"/>
    <w:rsid w:val="002D342E"/>
    <w:rsid w:val="003017A4"/>
    <w:rsid w:val="003108AF"/>
    <w:rsid w:val="00340D46"/>
    <w:rsid w:val="003A09B8"/>
    <w:rsid w:val="003A1801"/>
    <w:rsid w:val="003A5FDA"/>
    <w:rsid w:val="003C01E8"/>
    <w:rsid w:val="003D06B0"/>
    <w:rsid w:val="003D6F63"/>
    <w:rsid w:val="003E0944"/>
    <w:rsid w:val="00403867"/>
    <w:rsid w:val="00420C99"/>
    <w:rsid w:val="00432416"/>
    <w:rsid w:val="0043507A"/>
    <w:rsid w:val="00440217"/>
    <w:rsid w:val="00444E6D"/>
    <w:rsid w:val="0045288A"/>
    <w:rsid w:val="00456EE8"/>
    <w:rsid w:val="00463097"/>
    <w:rsid w:val="00466532"/>
    <w:rsid w:val="00486AF2"/>
    <w:rsid w:val="00494CD4"/>
    <w:rsid w:val="00497F8A"/>
    <w:rsid w:val="004D3ED5"/>
    <w:rsid w:val="0050514E"/>
    <w:rsid w:val="0052018F"/>
    <w:rsid w:val="00536242"/>
    <w:rsid w:val="00537799"/>
    <w:rsid w:val="00551774"/>
    <w:rsid w:val="00551DC4"/>
    <w:rsid w:val="005579F5"/>
    <w:rsid w:val="00566DF7"/>
    <w:rsid w:val="00576B92"/>
    <w:rsid w:val="005969D0"/>
    <w:rsid w:val="005B66B6"/>
    <w:rsid w:val="005C3A22"/>
    <w:rsid w:val="005C64A6"/>
    <w:rsid w:val="005D2CF4"/>
    <w:rsid w:val="00601EB9"/>
    <w:rsid w:val="0060647D"/>
    <w:rsid w:val="00610B68"/>
    <w:rsid w:val="006315AE"/>
    <w:rsid w:val="00644F18"/>
    <w:rsid w:val="00645A11"/>
    <w:rsid w:val="0065190A"/>
    <w:rsid w:val="006606EF"/>
    <w:rsid w:val="00661EC3"/>
    <w:rsid w:val="00680ABB"/>
    <w:rsid w:val="00681641"/>
    <w:rsid w:val="00687337"/>
    <w:rsid w:val="00691124"/>
    <w:rsid w:val="006B67DB"/>
    <w:rsid w:val="006C2434"/>
    <w:rsid w:val="006E1890"/>
    <w:rsid w:val="00712AA7"/>
    <w:rsid w:val="00715464"/>
    <w:rsid w:val="00724668"/>
    <w:rsid w:val="00727EC0"/>
    <w:rsid w:val="007363F3"/>
    <w:rsid w:val="00756B7C"/>
    <w:rsid w:val="00775E5C"/>
    <w:rsid w:val="007775AF"/>
    <w:rsid w:val="007C1C9C"/>
    <w:rsid w:val="007D065C"/>
    <w:rsid w:val="007F5E94"/>
    <w:rsid w:val="00800DFF"/>
    <w:rsid w:val="00804FCB"/>
    <w:rsid w:val="00805269"/>
    <w:rsid w:val="00807E81"/>
    <w:rsid w:val="0082573A"/>
    <w:rsid w:val="0082626E"/>
    <w:rsid w:val="00826A74"/>
    <w:rsid w:val="00846F78"/>
    <w:rsid w:val="00876A29"/>
    <w:rsid w:val="00880B13"/>
    <w:rsid w:val="008B5603"/>
    <w:rsid w:val="008B6EDD"/>
    <w:rsid w:val="008D4B19"/>
    <w:rsid w:val="008D606D"/>
    <w:rsid w:val="009240CC"/>
    <w:rsid w:val="009422C3"/>
    <w:rsid w:val="0094526E"/>
    <w:rsid w:val="009540A7"/>
    <w:rsid w:val="009545FA"/>
    <w:rsid w:val="009946E2"/>
    <w:rsid w:val="009979C4"/>
    <w:rsid w:val="009A35FC"/>
    <w:rsid w:val="009C72EE"/>
    <w:rsid w:val="009E6021"/>
    <w:rsid w:val="00A27F02"/>
    <w:rsid w:val="00A3766B"/>
    <w:rsid w:val="00A42AAC"/>
    <w:rsid w:val="00A44380"/>
    <w:rsid w:val="00A465DE"/>
    <w:rsid w:val="00A51495"/>
    <w:rsid w:val="00A54A04"/>
    <w:rsid w:val="00A568DF"/>
    <w:rsid w:val="00A61130"/>
    <w:rsid w:val="00A94E8F"/>
    <w:rsid w:val="00AA6956"/>
    <w:rsid w:val="00AB033C"/>
    <w:rsid w:val="00AD4DA8"/>
    <w:rsid w:val="00B41882"/>
    <w:rsid w:val="00B473D3"/>
    <w:rsid w:val="00B61F55"/>
    <w:rsid w:val="00B81357"/>
    <w:rsid w:val="00B83169"/>
    <w:rsid w:val="00BA6DBB"/>
    <w:rsid w:val="00BB280B"/>
    <w:rsid w:val="00BD756D"/>
    <w:rsid w:val="00BE1152"/>
    <w:rsid w:val="00BE7232"/>
    <w:rsid w:val="00C13DBB"/>
    <w:rsid w:val="00C230DE"/>
    <w:rsid w:val="00C3135D"/>
    <w:rsid w:val="00C52EDB"/>
    <w:rsid w:val="00C564E6"/>
    <w:rsid w:val="00C72C28"/>
    <w:rsid w:val="00C7484D"/>
    <w:rsid w:val="00CA072D"/>
    <w:rsid w:val="00CB16A3"/>
    <w:rsid w:val="00CB7850"/>
    <w:rsid w:val="00CD404A"/>
    <w:rsid w:val="00CD5D1F"/>
    <w:rsid w:val="00CE5A8D"/>
    <w:rsid w:val="00CF63FF"/>
    <w:rsid w:val="00D179B4"/>
    <w:rsid w:val="00D26F52"/>
    <w:rsid w:val="00D42DFC"/>
    <w:rsid w:val="00D64E0F"/>
    <w:rsid w:val="00D76D5B"/>
    <w:rsid w:val="00DA549B"/>
    <w:rsid w:val="00DB545A"/>
    <w:rsid w:val="00DC24F9"/>
    <w:rsid w:val="00DD74F7"/>
    <w:rsid w:val="00DE6DA9"/>
    <w:rsid w:val="00DF374B"/>
    <w:rsid w:val="00DF5F94"/>
    <w:rsid w:val="00E25E25"/>
    <w:rsid w:val="00E420C9"/>
    <w:rsid w:val="00E46AA7"/>
    <w:rsid w:val="00E57F7F"/>
    <w:rsid w:val="00E75603"/>
    <w:rsid w:val="00E85E6F"/>
    <w:rsid w:val="00E94058"/>
    <w:rsid w:val="00EA1717"/>
    <w:rsid w:val="00EB24D0"/>
    <w:rsid w:val="00EC556B"/>
    <w:rsid w:val="00EF265D"/>
    <w:rsid w:val="00F11496"/>
    <w:rsid w:val="00F176DE"/>
    <w:rsid w:val="00F55E1A"/>
    <w:rsid w:val="00FA74C7"/>
    <w:rsid w:val="00FD13D8"/>
    <w:rsid w:val="00FF4510"/>
    <w:rsid w:val="0A0F1AF1"/>
    <w:rsid w:val="25905B36"/>
    <w:rsid w:val="36316E3D"/>
    <w:rsid w:val="38245EF5"/>
    <w:rsid w:val="3E0A45C5"/>
    <w:rsid w:val="3E6B62C8"/>
    <w:rsid w:val="43A71D54"/>
    <w:rsid w:val="485D47E0"/>
    <w:rsid w:val="57DE2866"/>
    <w:rsid w:val="5FDC3121"/>
    <w:rsid w:val="70D2793C"/>
    <w:rsid w:val="73BB61C7"/>
    <w:rsid w:val="76527744"/>
    <w:rsid w:val="7CE6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EE"/>
    <w:pPr>
      <w:widowControl w:val="0"/>
      <w:ind w:left="601" w:hanging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C72E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C72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C7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9C7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C7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9C72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C72EE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9C72E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C72E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C72E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C72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18</cp:revision>
  <cp:lastPrinted>2023-11-24T00:17:00Z</cp:lastPrinted>
  <dcterms:created xsi:type="dcterms:W3CDTF">2023-09-11T00:17:00Z</dcterms:created>
  <dcterms:modified xsi:type="dcterms:W3CDTF">2025-12-01T07:30:00Z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083C1DFA4842421C9A932E30545FFE07_13</vt:lpwstr>
  </property>
  <property fmtid="{D5CDD505-2E9C-101B-9397-08002B2CF9AE}" pid="4" name="KSOTemplateDocerSaveRecord">
    <vt:lpwstr>eyJoZGlkIjoiMzgzMTM4ZmQyNjI0OTczZjJlYTM3ZDYxOTRkYmNkNTgiLCJ1c2VySWQiOiI0OTk4OTk0MzkifQ==</vt:lpwstr>
  </property>
</Properties>
</file>