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05283">
      <w:pPr>
        <w:jc w:val="center"/>
        <w:rPr>
          <w:rFonts w:hint="eastAsia" w:ascii="宋体" w:hAnsi="宋体" w:cs="宋体"/>
          <w:b/>
          <w:bCs/>
          <w:kern w:val="44"/>
          <w:sz w:val="44"/>
          <w:szCs w:val="44"/>
        </w:rPr>
      </w:pPr>
      <w:r>
        <w:rPr>
          <w:rFonts w:hint="eastAsia" w:ascii="宋体" w:hAnsi="宋体" w:cs="宋体"/>
          <w:b/>
          <w:bCs/>
          <w:kern w:val="44"/>
          <w:sz w:val="44"/>
          <w:szCs w:val="44"/>
        </w:rPr>
        <w:t>医院信息平台硬件扩容项目</w:t>
      </w:r>
    </w:p>
    <w:p w14:paraId="0BA49A75">
      <w:pPr>
        <w:jc w:val="center"/>
        <w:rPr>
          <w:rFonts w:hint="eastAsia" w:ascii="宋体" w:hAnsi="宋体" w:cs="宋体"/>
          <w:b/>
          <w:bCs/>
          <w:kern w:val="44"/>
          <w:sz w:val="44"/>
          <w:szCs w:val="44"/>
        </w:rPr>
      </w:pPr>
      <w:r>
        <w:rPr>
          <w:rFonts w:hint="eastAsia" w:ascii="宋体" w:hAnsi="宋体" w:cs="宋体"/>
          <w:b/>
          <w:bCs/>
          <w:kern w:val="44"/>
          <w:sz w:val="44"/>
          <w:szCs w:val="44"/>
        </w:rPr>
        <w:t>技术</w:t>
      </w:r>
      <w:bookmarkStart w:id="2" w:name="_GoBack"/>
      <w:bookmarkEnd w:id="2"/>
      <w:r>
        <w:rPr>
          <w:rFonts w:hint="eastAsia" w:ascii="宋体" w:hAnsi="宋体" w:cs="宋体"/>
          <w:b/>
          <w:bCs/>
          <w:kern w:val="44"/>
          <w:sz w:val="44"/>
          <w:szCs w:val="44"/>
        </w:rPr>
        <w:t>参数</w:t>
      </w:r>
    </w:p>
    <w:p w14:paraId="1BEBF673">
      <w:pPr>
        <w:pStyle w:val="14"/>
        <w:spacing w:line="360" w:lineRule="auto"/>
        <w:jc w:val="both"/>
        <w:rPr>
          <w:rFonts w:hint="eastAsia" w:ascii="宋体" w:hAnsi="宋体" w:eastAsia="宋体" w:cs="宋体"/>
          <w:b/>
        </w:rPr>
      </w:pPr>
      <w:r>
        <w:rPr>
          <w:rFonts w:hint="eastAsia" w:ascii="宋体" w:hAnsi="宋体" w:eastAsia="宋体" w:cs="宋体"/>
          <w:b/>
        </w:rPr>
        <w:t>一、主要设备清单</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4261"/>
        <w:gridCol w:w="838"/>
        <w:gridCol w:w="2568"/>
      </w:tblGrid>
      <w:tr w14:paraId="1DA09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tcPr>
          <w:p w14:paraId="769BF429">
            <w:pPr>
              <w:spacing w:line="360" w:lineRule="auto"/>
              <w:jc w:val="center"/>
              <w:rPr>
                <w:rFonts w:hint="eastAsia" w:ascii="宋体" w:hAnsi="宋体" w:cs="宋体"/>
                <w:b/>
                <w:sz w:val="24"/>
              </w:rPr>
            </w:pPr>
            <w:r>
              <w:rPr>
                <w:rFonts w:hint="eastAsia" w:ascii="宋体" w:hAnsi="宋体" w:cs="宋体"/>
                <w:b/>
                <w:sz w:val="24"/>
              </w:rPr>
              <w:t>序号</w:t>
            </w:r>
          </w:p>
        </w:tc>
        <w:tc>
          <w:tcPr>
            <w:tcW w:w="4261" w:type="dxa"/>
          </w:tcPr>
          <w:p w14:paraId="637375CD">
            <w:pPr>
              <w:spacing w:line="360" w:lineRule="auto"/>
              <w:jc w:val="center"/>
              <w:rPr>
                <w:rFonts w:hint="eastAsia" w:ascii="宋体" w:hAnsi="宋体" w:cs="宋体"/>
                <w:b/>
                <w:sz w:val="24"/>
              </w:rPr>
            </w:pPr>
            <w:r>
              <w:rPr>
                <w:rFonts w:hint="eastAsia" w:ascii="宋体" w:hAnsi="宋体" w:cs="宋体"/>
                <w:b/>
                <w:sz w:val="24"/>
              </w:rPr>
              <w:t>货物名称</w:t>
            </w:r>
          </w:p>
        </w:tc>
        <w:tc>
          <w:tcPr>
            <w:tcW w:w="838" w:type="dxa"/>
          </w:tcPr>
          <w:p w14:paraId="7B8222B4">
            <w:pPr>
              <w:spacing w:line="360" w:lineRule="auto"/>
              <w:jc w:val="center"/>
              <w:rPr>
                <w:rFonts w:hint="eastAsia" w:ascii="宋体" w:hAnsi="宋体" w:cs="宋体"/>
                <w:b/>
                <w:sz w:val="24"/>
              </w:rPr>
            </w:pPr>
            <w:r>
              <w:rPr>
                <w:rFonts w:hint="eastAsia" w:ascii="宋体" w:hAnsi="宋体" w:cs="宋体"/>
                <w:b/>
                <w:sz w:val="24"/>
              </w:rPr>
              <w:t>数量</w:t>
            </w:r>
          </w:p>
        </w:tc>
        <w:tc>
          <w:tcPr>
            <w:tcW w:w="2568" w:type="dxa"/>
          </w:tcPr>
          <w:p w14:paraId="5D833AFC">
            <w:pPr>
              <w:spacing w:line="360" w:lineRule="auto"/>
              <w:jc w:val="center"/>
              <w:rPr>
                <w:rFonts w:hint="eastAsia" w:ascii="宋体" w:hAnsi="宋体" w:cs="宋体"/>
                <w:b/>
                <w:sz w:val="24"/>
              </w:rPr>
            </w:pPr>
            <w:r>
              <w:rPr>
                <w:rFonts w:hint="eastAsia" w:ascii="宋体" w:hAnsi="宋体" w:cs="宋体"/>
                <w:b/>
                <w:sz w:val="24"/>
              </w:rPr>
              <w:t>配置及参数简要描述</w:t>
            </w:r>
          </w:p>
        </w:tc>
      </w:tr>
      <w:tr w14:paraId="0EC78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tcPr>
          <w:p w14:paraId="4EFEF6D7">
            <w:pPr>
              <w:spacing w:line="360" w:lineRule="auto"/>
              <w:jc w:val="center"/>
              <w:rPr>
                <w:rFonts w:hint="eastAsia" w:ascii="宋体" w:hAnsi="宋体" w:cs="宋体"/>
                <w:sz w:val="24"/>
              </w:rPr>
            </w:pPr>
            <w:r>
              <w:rPr>
                <w:rFonts w:hint="eastAsia" w:ascii="宋体" w:hAnsi="宋体" w:cs="宋体"/>
                <w:sz w:val="24"/>
              </w:rPr>
              <w:t>1</w:t>
            </w:r>
          </w:p>
        </w:tc>
        <w:tc>
          <w:tcPr>
            <w:tcW w:w="4261" w:type="dxa"/>
            <w:vAlign w:val="center"/>
          </w:tcPr>
          <w:p w14:paraId="0F00B446">
            <w:pPr>
              <w:widowControl/>
              <w:jc w:val="center"/>
              <w:rPr>
                <w:rFonts w:hint="eastAsia" w:ascii="宋体" w:hAnsi="宋体" w:cs="宋体"/>
                <w:szCs w:val="21"/>
              </w:rPr>
            </w:pPr>
            <w:r>
              <w:rPr>
                <w:rFonts w:hint="eastAsia" w:ascii="宋体" w:hAnsi="宋体" w:cs="宋体"/>
                <w:szCs w:val="21"/>
              </w:rPr>
              <w:t>超融合服务器</w:t>
            </w:r>
          </w:p>
          <w:p w14:paraId="2E976A51">
            <w:pPr>
              <w:spacing w:line="360" w:lineRule="auto"/>
              <w:jc w:val="center"/>
              <w:rPr>
                <w:rFonts w:hint="eastAsia" w:ascii="宋体" w:hAnsi="宋体" w:cs="宋体"/>
                <w:sz w:val="24"/>
              </w:rPr>
            </w:pPr>
            <w:r>
              <w:rPr>
                <w:rFonts w:hint="eastAsia" w:ascii="宋体" w:hAnsi="宋体" w:cs="宋体"/>
                <w:szCs w:val="21"/>
              </w:rPr>
              <w:t>（含超融合软件1套）</w:t>
            </w:r>
          </w:p>
        </w:tc>
        <w:tc>
          <w:tcPr>
            <w:tcW w:w="838" w:type="dxa"/>
          </w:tcPr>
          <w:p w14:paraId="0EB03A1B">
            <w:pPr>
              <w:spacing w:line="360" w:lineRule="auto"/>
              <w:jc w:val="center"/>
              <w:rPr>
                <w:rFonts w:hint="eastAsia" w:ascii="宋体" w:hAnsi="宋体" w:cs="宋体"/>
                <w:sz w:val="24"/>
              </w:rPr>
            </w:pPr>
            <w:r>
              <w:rPr>
                <w:rFonts w:hint="eastAsia" w:ascii="宋体" w:hAnsi="宋体" w:cs="宋体"/>
                <w:sz w:val="24"/>
              </w:rPr>
              <w:t>5台</w:t>
            </w:r>
          </w:p>
        </w:tc>
        <w:tc>
          <w:tcPr>
            <w:tcW w:w="2568" w:type="dxa"/>
          </w:tcPr>
          <w:p w14:paraId="11A99E29">
            <w:pPr>
              <w:spacing w:line="360" w:lineRule="auto"/>
              <w:jc w:val="center"/>
              <w:rPr>
                <w:rFonts w:hint="eastAsia" w:ascii="宋体" w:hAnsi="宋体" w:cs="宋体"/>
                <w:sz w:val="24"/>
              </w:rPr>
            </w:pPr>
            <w:r>
              <w:rPr>
                <w:rFonts w:hint="eastAsia" w:ascii="宋体" w:hAnsi="宋体" w:cs="宋体"/>
                <w:sz w:val="24"/>
              </w:rPr>
              <w:t>详见具体参数要求</w:t>
            </w:r>
          </w:p>
        </w:tc>
      </w:tr>
      <w:tr w14:paraId="2D3C3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tcPr>
          <w:p w14:paraId="2C68B44D">
            <w:pPr>
              <w:spacing w:line="360" w:lineRule="auto"/>
              <w:jc w:val="center"/>
              <w:rPr>
                <w:rFonts w:hint="eastAsia" w:ascii="宋体" w:hAnsi="宋体" w:cs="宋体"/>
                <w:sz w:val="24"/>
              </w:rPr>
            </w:pPr>
            <w:r>
              <w:rPr>
                <w:rFonts w:hint="eastAsia" w:ascii="宋体" w:hAnsi="宋体" w:cs="宋体"/>
                <w:sz w:val="24"/>
              </w:rPr>
              <w:t>2</w:t>
            </w:r>
          </w:p>
        </w:tc>
        <w:tc>
          <w:tcPr>
            <w:tcW w:w="4261" w:type="dxa"/>
            <w:vAlign w:val="center"/>
          </w:tcPr>
          <w:p w14:paraId="47D9B587">
            <w:pPr>
              <w:spacing w:line="360" w:lineRule="auto"/>
              <w:jc w:val="center"/>
              <w:rPr>
                <w:rFonts w:hint="eastAsia" w:ascii="宋体" w:hAnsi="宋体" w:cs="宋体"/>
                <w:sz w:val="24"/>
              </w:rPr>
            </w:pPr>
            <w:r>
              <w:rPr>
                <w:rFonts w:hint="eastAsia" w:ascii="宋体" w:hAnsi="宋体" w:cs="宋体"/>
                <w:szCs w:val="21"/>
              </w:rPr>
              <w:t>网络交换机</w:t>
            </w:r>
          </w:p>
        </w:tc>
        <w:tc>
          <w:tcPr>
            <w:tcW w:w="838" w:type="dxa"/>
          </w:tcPr>
          <w:p w14:paraId="0615E7CB">
            <w:pPr>
              <w:spacing w:line="360" w:lineRule="auto"/>
              <w:jc w:val="center"/>
              <w:rPr>
                <w:rFonts w:hint="eastAsia" w:ascii="宋体" w:hAnsi="宋体" w:cs="宋体"/>
                <w:sz w:val="24"/>
              </w:rPr>
            </w:pPr>
            <w:r>
              <w:rPr>
                <w:rFonts w:hint="eastAsia" w:ascii="宋体" w:hAnsi="宋体" w:cs="宋体"/>
                <w:sz w:val="24"/>
              </w:rPr>
              <w:t>2台</w:t>
            </w:r>
          </w:p>
        </w:tc>
        <w:tc>
          <w:tcPr>
            <w:tcW w:w="2568" w:type="dxa"/>
          </w:tcPr>
          <w:p w14:paraId="116A11DE">
            <w:pPr>
              <w:spacing w:line="360" w:lineRule="auto"/>
              <w:jc w:val="center"/>
              <w:rPr>
                <w:rFonts w:hint="eastAsia" w:ascii="宋体" w:hAnsi="宋体" w:cs="宋体"/>
                <w:sz w:val="24"/>
              </w:rPr>
            </w:pPr>
            <w:r>
              <w:rPr>
                <w:rFonts w:hint="eastAsia" w:ascii="宋体" w:hAnsi="宋体" w:cs="宋体"/>
                <w:sz w:val="24"/>
              </w:rPr>
              <w:t>详见具体参数要求</w:t>
            </w:r>
          </w:p>
        </w:tc>
      </w:tr>
      <w:tr w14:paraId="3C6D4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tcPr>
          <w:p w14:paraId="1046776F">
            <w:pPr>
              <w:spacing w:line="360" w:lineRule="auto"/>
              <w:jc w:val="center"/>
              <w:rPr>
                <w:rFonts w:hint="eastAsia" w:ascii="宋体" w:hAnsi="宋体" w:cs="宋体"/>
                <w:sz w:val="24"/>
              </w:rPr>
            </w:pPr>
            <w:r>
              <w:rPr>
                <w:rFonts w:hint="eastAsia" w:ascii="宋体" w:hAnsi="宋体" w:cs="宋体"/>
                <w:sz w:val="24"/>
              </w:rPr>
              <w:t>3</w:t>
            </w:r>
          </w:p>
        </w:tc>
        <w:tc>
          <w:tcPr>
            <w:tcW w:w="4261" w:type="dxa"/>
            <w:vAlign w:val="center"/>
          </w:tcPr>
          <w:p w14:paraId="7A609A2A">
            <w:pPr>
              <w:spacing w:line="360" w:lineRule="auto"/>
              <w:jc w:val="center"/>
              <w:rPr>
                <w:rFonts w:hint="eastAsia" w:ascii="宋体" w:hAnsi="宋体" w:cs="宋体"/>
                <w:sz w:val="24"/>
              </w:rPr>
            </w:pPr>
            <w:r>
              <w:rPr>
                <w:rFonts w:hint="eastAsia" w:ascii="宋体" w:hAnsi="宋体" w:cs="宋体"/>
                <w:szCs w:val="21"/>
              </w:rPr>
              <w:t>灾备软件</w:t>
            </w:r>
          </w:p>
        </w:tc>
        <w:tc>
          <w:tcPr>
            <w:tcW w:w="838" w:type="dxa"/>
          </w:tcPr>
          <w:p w14:paraId="670729FA">
            <w:pPr>
              <w:spacing w:line="360" w:lineRule="auto"/>
              <w:jc w:val="center"/>
              <w:rPr>
                <w:rFonts w:hint="eastAsia" w:ascii="宋体" w:hAnsi="宋体" w:cs="宋体"/>
                <w:sz w:val="24"/>
              </w:rPr>
            </w:pPr>
            <w:r>
              <w:rPr>
                <w:rFonts w:hint="eastAsia" w:ascii="宋体" w:hAnsi="宋体" w:cs="宋体"/>
                <w:sz w:val="24"/>
              </w:rPr>
              <w:t>1套</w:t>
            </w:r>
          </w:p>
        </w:tc>
        <w:tc>
          <w:tcPr>
            <w:tcW w:w="2568" w:type="dxa"/>
          </w:tcPr>
          <w:p w14:paraId="18E24B3E">
            <w:pPr>
              <w:spacing w:line="360" w:lineRule="auto"/>
              <w:jc w:val="center"/>
              <w:rPr>
                <w:rFonts w:hint="eastAsia" w:ascii="宋体" w:hAnsi="宋体" w:cs="宋体"/>
                <w:sz w:val="24"/>
              </w:rPr>
            </w:pPr>
            <w:r>
              <w:rPr>
                <w:rFonts w:hint="eastAsia" w:ascii="宋体" w:hAnsi="宋体" w:cs="宋体"/>
                <w:sz w:val="24"/>
              </w:rPr>
              <w:t>详见具体参数要求</w:t>
            </w:r>
          </w:p>
        </w:tc>
      </w:tr>
    </w:tbl>
    <w:p w14:paraId="262129FA">
      <w:pPr>
        <w:pStyle w:val="14"/>
        <w:spacing w:line="360" w:lineRule="auto"/>
        <w:jc w:val="both"/>
        <w:rPr>
          <w:rFonts w:hint="eastAsia" w:ascii="宋体" w:hAnsi="宋体" w:eastAsia="宋体" w:cs="宋体"/>
          <w:b/>
        </w:rPr>
      </w:pPr>
      <w:bookmarkStart w:id="0" w:name="_Toc413757468"/>
      <w:bookmarkStart w:id="1" w:name="_Toc424282364"/>
    </w:p>
    <w:p w14:paraId="68B22CE8">
      <w:pPr>
        <w:pStyle w:val="14"/>
        <w:spacing w:line="360" w:lineRule="auto"/>
        <w:jc w:val="both"/>
        <w:rPr>
          <w:rFonts w:hint="eastAsia" w:ascii="宋体" w:hAnsi="宋体" w:eastAsia="宋体" w:cs="宋体"/>
          <w:b/>
        </w:rPr>
      </w:pPr>
      <w:r>
        <w:rPr>
          <w:rFonts w:hint="eastAsia" w:ascii="宋体" w:hAnsi="宋体" w:eastAsia="宋体" w:cs="宋体"/>
          <w:b/>
        </w:rPr>
        <w:t>二、设备技术参数要求</w:t>
      </w:r>
      <w:bookmarkEnd w:id="0"/>
      <w:bookmarkEnd w:id="1"/>
    </w:p>
    <w:p w14:paraId="53F562AA">
      <w:pPr>
        <w:spacing w:line="360" w:lineRule="auto"/>
        <w:ind w:firstLine="413"/>
        <w:outlineLvl w:val="0"/>
        <w:rPr>
          <w:rFonts w:hint="eastAsia" w:ascii="宋体" w:hAnsi="宋体"/>
          <w:b/>
          <w:sz w:val="24"/>
          <w:szCs w:val="24"/>
        </w:rPr>
      </w:pPr>
      <w:r>
        <w:rPr>
          <w:rFonts w:hint="eastAsia" w:ascii="宋体" w:hAnsi="宋体"/>
          <w:b/>
          <w:sz w:val="24"/>
          <w:szCs w:val="24"/>
        </w:rPr>
        <w:t>1. 超融合服务器 （</w:t>
      </w:r>
      <w:r>
        <w:rPr>
          <w:rFonts w:hint="eastAsia" w:ascii="宋体" w:hAnsi="宋体"/>
          <w:b/>
          <w:sz w:val="24"/>
          <w:szCs w:val="24"/>
          <w:u w:val="single"/>
        </w:rPr>
        <w:t xml:space="preserve"> 5</w:t>
      </w:r>
      <w:r>
        <w:rPr>
          <w:rFonts w:hint="eastAsia" w:ascii="宋体" w:hAnsi="宋体"/>
          <w:b/>
          <w:sz w:val="24"/>
          <w:szCs w:val="24"/>
        </w:rPr>
        <w:t>台）</w:t>
      </w:r>
    </w:p>
    <w:tbl>
      <w:tblPr>
        <w:tblStyle w:val="20"/>
        <w:tblW w:w="5177" w:type="pct"/>
        <w:jc w:val="center"/>
        <w:tblLayout w:type="fixed"/>
        <w:tblCellMar>
          <w:top w:w="0" w:type="dxa"/>
          <w:left w:w="108" w:type="dxa"/>
          <w:bottom w:w="0" w:type="dxa"/>
          <w:right w:w="108" w:type="dxa"/>
        </w:tblCellMar>
      </w:tblPr>
      <w:tblGrid>
        <w:gridCol w:w="1921"/>
        <w:gridCol w:w="5142"/>
        <w:gridCol w:w="1761"/>
      </w:tblGrid>
      <w:tr w14:paraId="45831729">
        <w:tblPrEx>
          <w:tblCellMar>
            <w:top w:w="0" w:type="dxa"/>
            <w:left w:w="108" w:type="dxa"/>
            <w:bottom w:w="0" w:type="dxa"/>
            <w:right w:w="108" w:type="dxa"/>
          </w:tblCellMar>
        </w:tblPrEx>
        <w:trPr>
          <w:trHeight w:val="380" w:hRule="atLeast"/>
          <w:jc w:val="center"/>
        </w:trPr>
        <w:tc>
          <w:tcPr>
            <w:tcW w:w="1921" w:type="dxa"/>
            <w:tcBorders>
              <w:top w:val="single" w:color="000000" w:sz="4" w:space="0"/>
              <w:left w:val="single" w:color="000000" w:sz="4" w:space="0"/>
              <w:bottom w:val="single" w:color="000000" w:sz="4" w:space="0"/>
              <w:right w:val="single" w:color="000000" w:sz="4" w:space="0"/>
            </w:tcBorders>
            <w:shd w:val="clear" w:color="000000" w:fill="auto"/>
            <w:vAlign w:val="center"/>
          </w:tcPr>
          <w:p w14:paraId="5ACA4123">
            <w:pPr>
              <w:jc w:val="center"/>
              <w:rPr>
                <w:rFonts w:hint="eastAsia" w:ascii="宋体" w:hAnsi="宋体" w:cs="宋体"/>
                <w:b/>
                <w:bCs/>
                <w:color w:val="000000"/>
                <w:sz w:val="24"/>
              </w:rPr>
            </w:pPr>
            <w:r>
              <w:rPr>
                <w:rFonts w:hint="eastAsia" w:ascii="宋体" w:hAnsi="宋体" w:cs="宋体"/>
                <w:b/>
                <w:bCs/>
                <w:color w:val="000000"/>
                <w:sz w:val="24"/>
              </w:rPr>
              <w:t>指标分类</w:t>
            </w:r>
          </w:p>
        </w:tc>
        <w:tc>
          <w:tcPr>
            <w:tcW w:w="5142" w:type="dxa"/>
            <w:tcBorders>
              <w:top w:val="single" w:color="000000" w:sz="4" w:space="0"/>
              <w:bottom w:val="single" w:color="000000" w:sz="4" w:space="0"/>
              <w:right w:val="single" w:color="000000" w:sz="4" w:space="0"/>
            </w:tcBorders>
            <w:shd w:val="clear" w:color="000000" w:fill="auto"/>
            <w:noWrap/>
            <w:vAlign w:val="bottom"/>
          </w:tcPr>
          <w:p w14:paraId="010F9608">
            <w:pPr>
              <w:jc w:val="center"/>
              <w:rPr>
                <w:rFonts w:hint="eastAsia" w:ascii="宋体" w:hAnsi="宋体" w:cs="宋体"/>
                <w:b/>
                <w:bCs/>
                <w:color w:val="000000"/>
                <w:sz w:val="24"/>
              </w:rPr>
            </w:pPr>
            <w:r>
              <w:rPr>
                <w:rFonts w:hint="eastAsia" w:ascii="宋体" w:hAnsi="宋体" w:cs="宋体"/>
                <w:b/>
                <w:bCs/>
                <w:color w:val="000000"/>
                <w:sz w:val="24"/>
              </w:rPr>
              <w:t>详细技术参数</w:t>
            </w:r>
          </w:p>
        </w:tc>
        <w:tc>
          <w:tcPr>
            <w:tcW w:w="1761" w:type="dxa"/>
            <w:tcBorders>
              <w:top w:val="single" w:color="000000" w:sz="4" w:space="0"/>
              <w:bottom w:val="single" w:color="000000" w:sz="4" w:space="0"/>
              <w:right w:val="single" w:color="000000" w:sz="4" w:space="0"/>
            </w:tcBorders>
            <w:shd w:val="clear" w:color="000000" w:fill="auto"/>
          </w:tcPr>
          <w:p w14:paraId="693195CE">
            <w:pPr>
              <w:jc w:val="center"/>
              <w:rPr>
                <w:rFonts w:hint="eastAsia" w:ascii="宋体" w:hAnsi="宋体" w:cs="宋体"/>
                <w:b/>
                <w:bCs/>
                <w:sz w:val="24"/>
              </w:rPr>
            </w:pPr>
            <w:r>
              <w:rPr>
                <w:rFonts w:hint="eastAsia" w:ascii="宋体" w:hAnsi="宋体" w:cs="宋体"/>
                <w:b/>
                <w:bCs/>
                <w:sz w:val="24"/>
              </w:rPr>
              <w:t>证明材料要求</w:t>
            </w:r>
          </w:p>
        </w:tc>
      </w:tr>
      <w:tr w14:paraId="620C97DE">
        <w:tblPrEx>
          <w:tblCellMar>
            <w:top w:w="0" w:type="dxa"/>
            <w:left w:w="108" w:type="dxa"/>
            <w:bottom w:w="0" w:type="dxa"/>
            <w:right w:w="108" w:type="dxa"/>
          </w:tblCellMar>
        </w:tblPrEx>
        <w:trPr>
          <w:trHeight w:val="285" w:hRule="atLeast"/>
          <w:jc w:val="center"/>
        </w:trPr>
        <w:tc>
          <w:tcPr>
            <w:tcW w:w="1921" w:type="dxa"/>
            <w:tcBorders>
              <w:top w:val="single" w:color="000000" w:sz="4" w:space="0"/>
              <w:left w:val="single" w:color="000000" w:sz="4" w:space="0"/>
              <w:bottom w:val="single" w:color="000000" w:sz="4" w:space="0"/>
              <w:right w:val="single" w:color="000000" w:sz="4" w:space="0"/>
            </w:tcBorders>
            <w:vAlign w:val="center"/>
          </w:tcPr>
          <w:p w14:paraId="133F39A6">
            <w:pPr>
              <w:jc w:val="center"/>
            </w:pPr>
            <w:r>
              <w:t>规格</w:t>
            </w:r>
          </w:p>
        </w:tc>
        <w:tc>
          <w:tcPr>
            <w:tcW w:w="5142" w:type="dxa"/>
            <w:tcBorders>
              <w:bottom w:val="single" w:color="000000" w:sz="4" w:space="0"/>
              <w:right w:val="single" w:color="000000" w:sz="4" w:space="0"/>
            </w:tcBorders>
            <w:noWrap/>
            <w:vAlign w:val="bottom"/>
          </w:tcPr>
          <w:p w14:paraId="116DC964">
            <w:r>
              <w:t>2U 机架式服务器</w:t>
            </w:r>
            <w:r>
              <w:rPr>
                <w:rFonts w:hint="eastAsia"/>
              </w:rPr>
              <w:t>；</w:t>
            </w:r>
          </w:p>
        </w:tc>
        <w:tc>
          <w:tcPr>
            <w:tcW w:w="1761" w:type="dxa"/>
            <w:tcBorders>
              <w:bottom w:val="single" w:color="000000" w:sz="4" w:space="0"/>
              <w:right w:val="single" w:color="000000" w:sz="4" w:space="0"/>
            </w:tcBorders>
          </w:tcPr>
          <w:p w14:paraId="58B44C13">
            <w:pPr>
              <w:jc w:val="center"/>
            </w:pPr>
            <w:r>
              <w:rPr>
                <w:rFonts w:hint="eastAsia"/>
              </w:rPr>
              <w:t>否</w:t>
            </w:r>
          </w:p>
        </w:tc>
      </w:tr>
      <w:tr w14:paraId="1407D60F">
        <w:tblPrEx>
          <w:tblCellMar>
            <w:top w:w="0" w:type="dxa"/>
            <w:left w:w="108" w:type="dxa"/>
            <w:bottom w:w="0" w:type="dxa"/>
            <w:right w:w="108" w:type="dxa"/>
          </w:tblCellMar>
        </w:tblPrEx>
        <w:trPr>
          <w:trHeight w:val="270" w:hRule="atLeast"/>
          <w:jc w:val="center"/>
        </w:trPr>
        <w:tc>
          <w:tcPr>
            <w:tcW w:w="1921" w:type="dxa"/>
            <w:tcBorders>
              <w:left w:val="single" w:color="000000" w:sz="4" w:space="0"/>
              <w:bottom w:val="single" w:color="000000" w:sz="4" w:space="0"/>
              <w:right w:val="single" w:color="000000" w:sz="4" w:space="0"/>
            </w:tcBorders>
            <w:vAlign w:val="center"/>
          </w:tcPr>
          <w:p w14:paraId="1B3E9431">
            <w:pPr>
              <w:jc w:val="center"/>
            </w:pPr>
            <w:r>
              <w:rPr>
                <w:rFonts w:hint="eastAsia"/>
              </w:rPr>
              <w:t>★</w:t>
            </w:r>
            <w:r>
              <w:t>处理器</w:t>
            </w:r>
          </w:p>
        </w:tc>
        <w:tc>
          <w:tcPr>
            <w:tcW w:w="5142" w:type="dxa"/>
            <w:tcBorders>
              <w:bottom w:val="single" w:color="000000" w:sz="4" w:space="0"/>
              <w:right w:val="single" w:color="000000" w:sz="4" w:space="0"/>
            </w:tcBorders>
            <w:noWrap/>
            <w:vAlign w:val="bottom"/>
          </w:tcPr>
          <w:p w14:paraId="45C1742C">
            <w:r>
              <w:t>本次配置不低于2颗14核2.0 GHz 处理器。</w:t>
            </w:r>
            <w:r>
              <w:rPr>
                <w:rFonts w:hint="eastAsia"/>
              </w:rPr>
              <w:t>配置CPU≥2颗CPU，每颗基础频率规格不低于2.2GHZ  28C；</w:t>
            </w:r>
          </w:p>
        </w:tc>
        <w:tc>
          <w:tcPr>
            <w:tcW w:w="1761" w:type="dxa"/>
            <w:tcBorders>
              <w:bottom w:val="single" w:color="000000" w:sz="4" w:space="0"/>
              <w:right w:val="single" w:color="000000" w:sz="4" w:space="0"/>
            </w:tcBorders>
          </w:tcPr>
          <w:p w14:paraId="3B3F31D3">
            <w:pPr>
              <w:jc w:val="center"/>
            </w:pPr>
            <w:r>
              <w:rPr>
                <w:rFonts w:hint="eastAsia"/>
              </w:rPr>
              <w:t>是</w:t>
            </w:r>
          </w:p>
        </w:tc>
      </w:tr>
      <w:tr w14:paraId="25E42415">
        <w:tblPrEx>
          <w:tblCellMar>
            <w:top w:w="0" w:type="dxa"/>
            <w:left w:w="108" w:type="dxa"/>
            <w:bottom w:w="0" w:type="dxa"/>
            <w:right w:w="108" w:type="dxa"/>
          </w:tblCellMar>
        </w:tblPrEx>
        <w:trPr>
          <w:trHeight w:val="270" w:hRule="atLeast"/>
          <w:jc w:val="center"/>
        </w:trPr>
        <w:tc>
          <w:tcPr>
            <w:tcW w:w="1921" w:type="dxa"/>
            <w:vMerge w:val="restart"/>
            <w:tcBorders>
              <w:left w:val="single" w:color="000000" w:sz="4" w:space="0"/>
              <w:right w:val="single" w:color="000000" w:sz="4" w:space="0"/>
            </w:tcBorders>
            <w:vAlign w:val="center"/>
          </w:tcPr>
          <w:p w14:paraId="32137675">
            <w:pPr>
              <w:jc w:val="center"/>
            </w:pPr>
            <w:r>
              <w:rPr>
                <w:rFonts w:hint="eastAsia"/>
              </w:rPr>
              <w:t>★</w:t>
            </w:r>
            <w:r>
              <w:t>内存</w:t>
            </w:r>
          </w:p>
        </w:tc>
        <w:tc>
          <w:tcPr>
            <w:tcW w:w="5142" w:type="dxa"/>
            <w:tcBorders>
              <w:bottom w:val="single" w:color="000000" w:sz="4" w:space="0"/>
              <w:right w:val="single" w:color="000000" w:sz="4" w:space="0"/>
            </w:tcBorders>
            <w:vAlign w:val="bottom"/>
          </w:tcPr>
          <w:p w14:paraId="118CCA87">
            <w:r>
              <w:rPr>
                <w:rFonts w:hint="eastAsia"/>
              </w:rPr>
              <w:t>内存≥16根64GB DDR5, ≥32根内存插槽；</w:t>
            </w:r>
          </w:p>
        </w:tc>
        <w:tc>
          <w:tcPr>
            <w:tcW w:w="1761" w:type="dxa"/>
            <w:vMerge w:val="restart"/>
            <w:tcBorders>
              <w:right w:val="single" w:color="000000" w:sz="4" w:space="0"/>
            </w:tcBorders>
            <w:vAlign w:val="center"/>
          </w:tcPr>
          <w:p w14:paraId="4CC83CA1">
            <w:pPr>
              <w:jc w:val="center"/>
            </w:pPr>
            <w:r>
              <w:rPr>
                <w:rFonts w:hint="eastAsia"/>
              </w:rPr>
              <w:t>是</w:t>
            </w:r>
          </w:p>
        </w:tc>
      </w:tr>
      <w:tr w14:paraId="6C2717E9">
        <w:tblPrEx>
          <w:tblCellMar>
            <w:top w:w="0" w:type="dxa"/>
            <w:left w:w="108" w:type="dxa"/>
            <w:bottom w:w="0" w:type="dxa"/>
            <w:right w:w="108" w:type="dxa"/>
          </w:tblCellMar>
        </w:tblPrEx>
        <w:trPr>
          <w:trHeight w:val="270" w:hRule="atLeast"/>
          <w:jc w:val="center"/>
        </w:trPr>
        <w:tc>
          <w:tcPr>
            <w:tcW w:w="1921" w:type="dxa"/>
            <w:vMerge w:val="continue"/>
            <w:tcBorders>
              <w:left w:val="single" w:color="000000" w:sz="4" w:space="0"/>
              <w:bottom w:val="single" w:color="000000" w:sz="4" w:space="0"/>
              <w:right w:val="single" w:color="000000" w:sz="4" w:space="0"/>
            </w:tcBorders>
            <w:vAlign w:val="center"/>
          </w:tcPr>
          <w:p w14:paraId="71309E4C">
            <w:pPr>
              <w:jc w:val="center"/>
            </w:pPr>
          </w:p>
        </w:tc>
        <w:tc>
          <w:tcPr>
            <w:tcW w:w="5142" w:type="dxa"/>
            <w:tcBorders>
              <w:bottom w:val="single" w:color="000000" w:sz="4" w:space="0"/>
              <w:right w:val="single" w:color="000000" w:sz="4" w:space="0"/>
            </w:tcBorders>
            <w:vAlign w:val="bottom"/>
          </w:tcPr>
          <w:p w14:paraId="39D1C55E">
            <w:r>
              <w:t>实配不低于</w:t>
            </w:r>
            <w:r>
              <w:rPr>
                <w:rFonts w:hint="eastAsia"/>
              </w:rPr>
              <w:t>32</w:t>
            </w:r>
            <w:r>
              <w:t xml:space="preserve"> 条内存插槽</w:t>
            </w:r>
            <w:r>
              <w:rPr>
                <w:rFonts w:hint="eastAsia"/>
              </w:rPr>
              <w:t>；</w:t>
            </w:r>
          </w:p>
        </w:tc>
        <w:tc>
          <w:tcPr>
            <w:tcW w:w="1761" w:type="dxa"/>
            <w:vMerge w:val="continue"/>
            <w:tcBorders>
              <w:bottom w:val="single" w:color="000000" w:sz="4" w:space="0"/>
              <w:right w:val="single" w:color="000000" w:sz="4" w:space="0"/>
            </w:tcBorders>
          </w:tcPr>
          <w:p w14:paraId="56978825">
            <w:pPr>
              <w:jc w:val="center"/>
            </w:pPr>
          </w:p>
        </w:tc>
      </w:tr>
      <w:tr w14:paraId="6E4C9D83">
        <w:tblPrEx>
          <w:tblCellMar>
            <w:top w:w="0" w:type="dxa"/>
            <w:left w:w="108" w:type="dxa"/>
            <w:bottom w:w="0" w:type="dxa"/>
            <w:right w:w="108" w:type="dxa"/>
          </w:tblCellMar>
        </w:tblPrEx>
        <w:trPr>
          <w:trHeight w:val="480" w:hRule="atLeast"/>
          <w:jc w:val="center"/>
        </w:trPr>
        <w:tc>
          <w:tcPr>
            <w:tcW w:w="1921" w:type="dxa"/>
            <w:tcBorders>
              <w:left w:val="single" w:color="000000" w:sz="4" w:space="0"/>
              <w:bottom w:val="single" w:color="auto" w:sz="4" w:space="0"/>
              <w:right w:val="single" w:color="000000" w:sz="4" w:space="0"/>
            </w:tcBorders>
            <w:vAlign w:val="center"/>
          </w:tcPr>
          <w:p w14:paraId="73425434">
            <w:pPr>
              <w:jc w:val="center"/>
            </w:pPr>
            <w:r>
              <w:rPr>
                <w:rFonts w:hint="eastAsia"/>
              </w:rPr>
              <w:t>▲</w:t>
            </w:r>
            <w:r>
              <w:t>硬盘</w:t>
            </w:r>
          </w:p>
        </w:tc>
        <w:tc>
          <w:tcPr>
            <w:tcW w:w="5142" w:type="dxa"/>
            <w:tcBorders>
              <w:bottom w:val="single" w:color="000000" w:sz="4" w:space="0"/>
              <w:right w:val="single" w:color="000000" w:sz="4" w:space="0"/>
            </w:tcBorders>
            <w:vAlign w:val="center"/>
          </w:tcPr>
          <w:p w14:paraId="6F181B15">
            <w:r>
              <w:rPr>
                <w:rFonts w:hint="eastAsia"/>
              </w:rPr>
              <w:t>系统盘≥2块480GB SSD（Raid1）；数据盘≥6块7.68T NVME SSD；服务器可最大支持36个NVMe硬盘，提供官网链接和截图；</w:t>
            </w:r>
          </w:p>
        </w:tc>
        <w:tc>
          <w:tcPr>
            <w:tcW w:w="1761" w:type="dxa"/>
            <w:tcBorders>
              <w:bottom w:val="single" w:color="000000" w:sz="4" w:space="0"/>
              <w:right w:val="single" w:color="000000" w:sz="4" w:space="0"/>
            </w:tcBorders>
            <w:vAlign w:val="center"/>
          </w:tcPr>
          <w:p w14:paraId="0361EF96">
            <w:pPr>
              <w:jc w:val="center"/>
            </w:pPr>
            <w:r>
              <w:rPr>
                <w:rFonts w:hint="eastAsia"/>
              </w:rPr>
              <w:t>是</w:t>
            </w:r>
          </w:p>
        </w:tc>
      </w:tr>
      <w:tr w14:paraId="68B70F2F">
        <w:tblPrEx>
          <w:tblCellMar>
            <w:top w:w="0" w:type="dxa"/>
            <w:left w:w="108" w:type="dxa"/>
            <w:bottom w:w="0" w:type="dxa"/>
            <w:right w:w="108" w:type="dxa"/>
          </w:tblCellMar>
        </w:tblPrEx>
        <w:trPr>
          <w:trHeight w:val="624" w:hRule="atLeast"/>
          <w:jc w:val="center"/>
        </w:trPr>
        <w:tc>
          <w:tcPr>
            <w:tcW w:w="1921" w:type="dxa"/>
            <w:tcBorders>
              <w:top w:val="single" w:color="auto" w:sz="4" w:space="0"/>
              <w:left w:val="single" w:color="auto" w:sz="4" w:space="0"/>
              <w:bottom w:val="single" w:color="auto" w:sz="4" w:space="0"/>
              <w:right w:val="single" w:color="auto" w:sz="4" w:space="0"/>
            </w:tcBorders>
            <w:vAlign w:val="center"/>
          </w:tcPr>
          <w:p w14:paraId="48E748E1">
            <w:pPr>
              <w:jc w:val="center"/>
            </w:pPr>
            <w:r>
              <w:rPr>
                <w:rFonts w:hint="eastAsia"/>
              </w:rPr>
              <w:t>网卡</w:t>
            </w:r>
          </w:p>
        </w:tc>
        <w:tc>
          <w:tcPr>
            <w:tcW w:w="5142" w:type="dxa"/>
            <w:tcBorders>
              <w:top w:val="single" w:color="000000" w:sz="4" w:space="0"/>
              <w:left w:val="single" w:color="auto" w:sz="4" w:space="0"/>
              <w:bottom w:val="single" w:color="000000" w:sz="4" w:space="0"/>
              <w:right w:val="single" w:color="000000" w:sz="4" w:space="0"/>
            </w:tcBorders>
            <w:vAlign w:val="bottom"/>
          </w:tcPr>
          <w:p w14:paraId="6775A850">
            <w:r>
              <w:rPr>
                <w:rFonts w:hint="eastAsia"/>
              </w:rPr>
              <w:t>网络接口≥2块双口10/25Gb以太网卡（带25G模块，支持ROCE），≥1块四口千兆网口，1个独立的1Gb带外管理口；</w:t>
            </w:r>
          </w:p>
        </w:tc>
        <w:tc>
          <w:tcPr>
            <w:tcW w:w="1761" w:type="dxa"/>
            <w:tcBorders>
              <w:top w:val="single" w:color="000000" w:sz="4" w:space="0"/>
              <w:left w:val="single" w:color="auto" w:sz="4" w:space="0"/>
              <w:bottom w:val="single" w:color="000000" w:sz="4" w:space="0"/>
              <w:right w:val="single" w:color="000000" w:sz="4" w:space="0"/>
            </w:tcBorders>
            <w:vAlign w:val="center"/>
          </w:tcPr>
          <w:p w14:paraId="7649B866">
            <w:pPr>
              <w:jc w:val="center"/>
            </w:pPr>
            <w:r>
              <w:rPr>
                <w:rFonts w:hint="eastAsia"/>
              </w:rPr>
              <w:t>否</w:t>
            </w:r>
          </w:p>
        </w:tc>
      </w:tr>
      <w:tr w14:paraId="640C4426">
        <w:tblPrEx>
          <w:tblCellMar>
            <w:top w:w="0" w:type="dxa"/>
            <w:left w:w="108" w:type="dxa"/>
            <w:bottom w:w="0" w:type="dxa"/>
            <w:right w:w="108" w:type="dxa"/>
          </w:tblCellMar>
        </w:tblPrEx>
        <w:trPr>
          <w:trHeight w:val="270" w:hRule="atLeast"/>
          <w:jc w:val="center"/>
        </w:trPr>
        <w:tc>
          <w:tcPr>
            <w:tcW w:w="1921" w:type="dxa"/>
            <w:vMerge w:val="restart"/>
            <w:tcBorders>
              <w:top w:val="single" w:color="auto" w:sz="4" w:space="0"/>
              <w:left w:val="single" w:color="000000" w:sz="4" w:space="0"/>
              <w:right w:val="single" w:color="000000" w:sz="4" w:space="0"/>
            </w:tcBorders>
            <w:vAlign w:val="center"/>
          </w:tcPr>
          <w:p w14:paraId="45F6D930">
            <w:pPr>
              <w:jc w:val="center"/>
            </w:pPr>
            <w:r>
              <w:t>电源</w:t>
            </w:r>
          </w:p>
        </w:tc>
        <w:tc>
          <w:tcPr>
            <w:tcW w:w="5142" w:type="dxa"/>
            <w:tcBorders>
              <w:bottom w:val="single" w:color="000000" w:sz="4" w:space="0"/>
              <w:right w:val="single" w:color="000000" w:sz="4" w:space="0"/>
            </w:tcBorders>
            <w:vAlign w:val="bottom"/>
          </w:tcPr>
          <w:p w14:paraId="1D7145E3">
            <w:r>
              <w:t xml:space="preserve">实配电源输出功率不低于 </w:t>
            </w:r>
            <w:r>
              <w:rPr>
                <w:rFonts w:hint="eastAsia"/>
              </w:rPr>
              <w:t>1300</w:t>
            </w:r>
            <w:r>
              <w:t>0W电源，本次配置不低于：1+1热</w:t>
            </w:r>
            <w:r>
              <w:rPr>
                <w:rFonts w:hint="eastAsia"/>
              </w:rPr>
              <w:t>；</w:t>
            </w:r>
          </w:p>
        </w:tc>
        <w:tc>
          <w:tcPr>
            <w:tcW w:w="1761" w:type="dxa"/>
            <w:vMerge w:val="restart"/>
            <w:tcBorders>
              <w:right w:val="single" w:color="000000" w:sz="4" w:space="0"/>
            </w:tcBorders>
            <w:vAlign w:val="center"/>
          </w:tcPr>
          <w:p w14:paraId="3D0C25CB">
            <w:pPr>
              <w:jc w:val="center"/>
            </w:pPr>
            <w:r>
              <w:rPr>
                <w:rFonts w:hint="eastAsia"/>
              </w:rPr>
              <w:t>否</w:t>
            </w:r>
          </w:p>
        </w:tc>
      </w:tr>
      <w:tr w14:paraId="6AA26285">
        <w:tblPrEx>
          <w:tblCellMar>
            <w:top w:w="0" w:type="dxa"/>
            <w:left w:w="108" w:type="dxa"/>
            <w:bottom w:w="0" w:type="dxa"/>
            <w:right w:w="108" w:type="dxa"/>
          </w:tblCellMar>
        </w:tblPrEx>
        <w:trPr>
          <w:trHeight w:val="270" w:hRule="atLeast"/>
          <w:jc w:val="center"/>
        </w:trPr>
        <w:tc>
          <w:tcPr>
            <w:tcW w:w="1921" w:type="dxa"/>
            <w:vMerge w:val="continue"/>
            <w:tcBorders>
              <w:left w:val="single" w:color="000000" w:sz="4" w:space="0"/>
              <w:bottom w:val="single" w:color="auto" w:sz="4" w:space="0"/>
              <w:right w:val="single" w:color="000000" w:sz="4" w:space="0"/>
            </w:tcBorders>
            <w:vAlign w:val="center"/>
          </w:tcPr>
          <w:p w14:paraId="1A5101C7">
            <w:pPr>
              <w:jc w:val="center"/>
            </w:pPr>
          </w:p>
        </w:tc>
        <w:tc>
          <w:tcPr>
            <w:tcW w:w="5142" w:type="dxa"/>
            <w:tcBorders>
              <w:bottom w:val="single" w:color="auto" w:sz="4" w:space="0"/>
              <w:right w:val="single" w:color="000000" w:sz="4" w:space="0"/>
            </w:tcBorders>
            <w:vAlign w:val="bottom"/>
          </w:tcPr>
          <w:p w14:paraId="11919B36">
            <w:r>
              <w:t>支持240V高压直流</w:t>
            </w:r>
            <w:r>
              <w:rPr>
                <w:rFonts w:hint="eastAsia"/>
              </w:rPr>
              <w:t>；</w:t>
            </w:r>
          </w:p>
        </w:tc>
        <w:tc>
          <w:tcPr>
            <w:tcW w:w="1761" w:type="dxa"/>
            <w:vMerge w:val="continue"/>
            <w:tcBorders>
              <w:bottom w:val="single" w:color="auto" w:sz="4" w:space="0"/>
              <w:right w:val="single" w:color="000000" w:sz="4" w:space="0"/>
            </w:tcBorders>
          </w:tcPr>
          <w:p w14:paraId="63A9300E">
            <w:pPr>
              <w:jc w:val="center"/>
            </w:pPr>
          </w:p>
        </w:tc>
      </w:tr>
      <w:tr w14:paraId="5EC535F5">
        <w:tblPrEx>
          <w:tblCellMar>
            <w:top w:w="0" w:type="dxa"/>
            <w:left w:w="108" w:type="dxa"/>
            <w:bottom w:w="0" w:type="dxa"/>
            <w:right w:w="108" w:type="dxa"/>
          </w:tblCellMar>
        </w:tblPrEx>
        <w:trPr>
          <w:trHeight w:val="301" w:hRule="atLeast"/>
          <w:jc w:val="center"/>
        </w:trPr>
        <w:tc>
          <w:tcPr>
            <w:tcW w:w="1921" w:type="dxa"/>
            <w:tcBorders>
              <w:top w:val="single" w:color="auto" w:sz="4" w:space="0"/>
              <w:left w:val="single" w:color="auto" w:sz="4" w:space="0"/>
              <w:bottom w:val="single" w:color="auto" w:sz="4" w:space="0"/>
              <w:right w:val="single" w:color="000000" w:sz="4" w:space="0"/>
            </w:tcBorders>
            <w:vAlign w:val="center"/>
          </w:tcPr>
          <w:p w14:paraId="660C042B">
            <w:pPr>
              <w:jc w:val="center"/>
            </w:pPr>
            <w:r>
              <w:t>冷却系统</w:t>
            </w:r>
          </w:p>
        </w:tc>
        <w:tc>
          <w:tcPr>
            <w:tcW w:w="5142" w:type="dxa"/>
            <w:tcBorders>
              <w:top w:val="single" w:color="auto" w:sz="4" w:space="0"/>
              <w:bottom w:val="single" w:color="auto" w:sz="4" w:space="0"/>
              <w:right w:val="single" w:color="auto" w:sz="4" w:space="0"/>
            </w:tcBorders>
            <w:vAlign w:val="bottom"/>
          </w:tcPr>
          <w:p w14:paraId="12BA6F13">
            <w:r>
              <w:rPr>
                <w:rFonts w:hint="eastAsia"/>
              </w:rPr>
              <w:t>满配</w:t>
            </w:r>
            <w:r>
              <w:t>冗余热插拔系统风扇</w:t>
            </w:r>
            <w:r>
              <w:rPr>
                <w:rFonts w:hint="eastAsia"/>
              </w:rPr>
              <w:t>；</w:t>
            </w:r>
          </w:p>
        </w:tc>
        <w:tc>
          <w:tcPr>
            <w:tcW w:w="1761" w:type="dxa"/>
            <w:tcBorders>
              <w:top w:val="single" w:color="auto" w:sz="4" w:space="0"/>
              <w:bottom w:val="single" w:color="auto" w:sz="4" w:space="0"/>
              <w:right w:val="single" w:color="auto" w:sz="4" w:space="0"/>
            </w:tcBorders>
          </w:tcPr>
          <w:p w14:paraId="227A311F">
            <w:pPr>
              <w:jc w:val="center"/>
            </w:pPr>
            <w:r>
              <w:rPr>
                <w:rFonts w:hint="eastAsia"/>
              </w:rPr>
              <w:t>否</w:t>
            </w:r>
          </w:p>
        </w:tc>
      </w:tr>
      <w:tr w14:paraId="24B54401">
        <w:tblPrEx>
          <w:tblCellMar>
            <w:top w:w="0" w:type="dxa"/>
            <w:left w:w="108" w:type="dxa"/>
            <w:bottom w:w="0" w:type="dxa"/>
            <w:right w:w="108" w:type="dxa"/>
          </w:tblCellMar>
        </w:tblPrEx>
        <w:trPr>
          <w:trHeight w:val="270" w:hRule="atLeast"/>
          <w:jc w:val="center"/>
        </w:trPr>
        <w:tc>
          <w:tcPr>
            <w:tcW w:w="1921" w:type="dxa"/>
            <w:tcBorders>
              <w:top w:val="single" w:color="auto" w:sz="4" w:space="0"/>
              <w:left w:val="single" w:color="000000" w:sz="4" w:space="0"/>
              <w:bottom w:val="single" w:color="000000" w:sz="4" w:space="0"/>
              <w:right w:val="single" w:color="000000" w:sz="4" w:space="0"/>
            </w:tcBorders>
            <w:vAlign w:val="center"/>
          </w:tcPr>
          <w:p w14:paraId="1C64A73C">
            <w:pPr>
              <w:jc w:val="center"/>
            </w:pPr>
            <w:r>
              <w:rPr>
                <w:rFonts w:hint="eastAsia"/>
              </w:rPr>
              <w:t>▲</w:t>
            </w:r>
            <w:r>
              <w:t>稳定性</w:t>
            </w:r>
          </w:p>
        </w:tc>
        <w:tc>
          <w:tcPr>
            <w:tcW w:w="5142" w:type="dxa"/>
            <w:tcBorders>
              <w:top w:val="single" w:color="auto" w:sz="4" w:space="0"/>
              <w:bottom w:val="single" w:color="000000" w:sz="4" w:space="0"/>
              <w:right w:val="single" w:color="000000" w:sz="4" w:space="0"/>
            </w:tcBorders>
          </w:tcPr>
          <w:p w14:paraId="3CC9BBAD">
            <w:r>
              <w:rPr>
                <w:rFonts w:hint="eastAsia"/>
              </w:rPr>
              <w:t>原厂商可以提供数据拯救服务，提供官网链接证明及原厂工程师“数据恢复高级工程师认证证书”；</w:t>
            </w:r>
          </w:p>
        </w:tc>
        <w:tc>
          <w:tcPr>
            <w:tcW w:w="1761" w:type="dxa"/>
            <w:tcBorders>
              <w:top w:val="single" w:color="auto" w:sz="4" w:space="0"/>
              <w:bottom w:val="single" w:color="000000" w:sz="4" w:space="0"/>
              <w:right w:val="single" w:color="000000" w:sz="4" w:space="0"/>
            </w:tcBorders>
            <w:vAlign w:val="center"/>
          </w:tcPr>
          <w:p w14:paraId="5DB17227">
            <w:pPr>
              <w:jc w:val="center"/>
            </w:pPr>
            <w:r>
              <w:rPr>
                <w:rFonts w:hint="eastAsia"/>
              </w:rPr>
              <w:t>是</w:t>
            </w:r>
          </w:p>
        </w:tc>
      </w:tr>
      <w:tr w14:paraId="105D41E8">
        <w:tblPrEx>
          <w:tblCellMar>
            <w:top w:w="0" w:type="dxa"/>
            <w:left w:w="108" w:type="dxa"/>
            <w:bottom w:w="0" w:type="dxa"/>
            <w:right w:w="108" w:type="dxa"/>
          </w:tblCellMar>
        </w:tblPrEx>
        <w:trPr>
          <w:trHeight w:val="360" w:hRule="atLeast"/>
          <w:jc w:val="center"/>
        </w:trPr>
        <w:tc>
          <w:tcPr>
            <w:tcW w:w="1921" w:type="dxa"/>
            <w:tcBorders>
              <w:top w:val="single" w:color="000000" w:sz="4" w:space="0"/>
              <w:left w:val="single" w:color="000000" w:sz="4" w:space="0"/>
              <w:bottom w:val="single" w:color="auto" w:sz="4" w:space="0"/>
              <w:right w:val="single" w:color="000000" w:sz="4" w:space="0"/>
            </w:tcBorders>
            <w:vAlign w:val="center"/>
          </w:tcPr>
          <w:p w14:paraId="600D2708">
            <w:pPr>
              <w:jc w:val="center"/>
            </w:pPr>
            <w:r>
              <w:rPr>
                <w:rFonts w:hint="eastAsia"/>
              </w:rPr>
              <w:t>▲</w:t>
            </w:r>
            <w:r>
              <w:t>高可用</w:t>
            </w:r>
          </w:p>
        </w:tc>
        <w:tc>
          <w:tcPr>
            <w:tcW w:w="5142" w:type="dxa"/>
            <w:tcBorders>
              <w:bottom w:val="single" w:color="auto" w:sz="4" w:space="0"/>
              <w:right w:val="single" w:color="000000" w:sz="4" w:space="0"/>
            </w:tcBorders>
          </w:tcPr>
          <w:p w14:paraId="2F187EE4">
            <w:r>
              <w:rPr>
                <w:rFonts w:hint="eastAsia"/>
              </w:rPr>
              <w:t>服务器满足平均无故障时间MTBF≥240000小时，并提供国家级认证机构CNAS认证的产品检测证书；</w:t>
            </w:r>
          </w:p>
        </w:tc>
        <w:tc>
          <w:tcPr>
            <w:tcW w:w="1761" w:type="dxa"/>
            <w:tcBorders>
              <w:bottom w:val="single" w:color="auto" w:sz="4" w:space="0"/>
              <w:right w:val="single" w:color="000000" w:sz="4" w:space="0"/>
            </w:tcBorders>
            <w:vAlign w:val="center"/>
          </w:tcPr>
          <w:p w14:paraId="5B2CD771">
            <w:pPr>
              <w:jc w:val="center"/>
            </w:pPr>
            <w:r>
              <w:rPr>
                <w:rFonts w:hint="eastAsia"/>
              </w:rPr>
              <w:t>是</w:t>
            </w:r>
          </w:p>
        </w:tc>
      </w:tr>
      <w:tr w14:paraId="7B6E914A">
        <w:tblPrEx>
          <w:tblCellMar>
            <w:top w:w="0" w:type="dxa"/>
            <w:left w:w="108" w:type="dxa"/>
            <w:bottom w:w="0" w:type="dxa"/>
            <w:right w:w="108" w:type="dxa"/>
          </w:tblCellMar>
        </w:tblPrEx>
        <w:trPr>
          <w:trHeight w:val="360" w:hRule="atLeast"/>
          <w:jc w:val="center"/>
        </w:trPr>
        <w:tc>
          <w:tcPr>
            <w:tcW w:w="1921" w:type="dxa"/>
            <w:tcBorders>
              <w:top w:val="single" w:color="auto" w:sz="4" w:space="0"/>
              <w:left w:val="single" w:color="auto" w:sz="4" w:space="0"/>
              <w:bottom w:val="single" w:color="auto" w:sz="4" w:space="0"/>
              <w:right w:val="single" w:color="000000" w:sz="4" w:space="0"/>
            </w:tcBorders>
            <w:vAlign w:val="center"/>
          </w:tcPr>
          <w:p w14:paraId="52851B74">
            <w:pPr>
              <w:jc w:val="center"/>
            </w:pPr>
            <w:r>
              <w:rPr>
                <w:rFonts w:hint="eastAsia"/>
              </w:rPr>
              <w:t>▲</w:t>
            </w:r>
            <w:r>
              <w:t>服务要求</w:t>
            </w:r>
          </w:p>
        </w:tc>
        <w:tc>
          <w:tcPr>
            <w:tcW w:w="5142" w:type="dxa"/>
            <w:tcBorders>
              <w:top w:val="single" w:color="auto" w:sz="4" w:space="0"/>
              <w:bottom w:val="single" w:color="auto" w:sz="4" w:space="0"/>
              <w:right w:val="single" w:color="auto" w:sz="4" w:space="0"/>
            </w:tcBorders>
            <w:vAlign w:val="center"/>
          </w:tcPr>
          <w:p w14:paraId="425B80BE">
            <w:r>
              <w:t>需要与现有平台软件做数据迁移服务，≥</w:t>
            </w:r>
            <w:r>
              <w:rPr>
                <w:rFonts w:hint="eastAsia"/>
              </w:rPr>
              <w:t>5</w:t>
            </w:r>
            <w:r>
              <w:t xml:space="preserve"> 年原厂免费质保，服务包括</w:t>
            </w:r>
            <w:r>
              <w:rPr>
                <w:rFonts w:hint="eastAsia"/>
              </w:rPr>
              <w:t>：</w:t>
            </w:r>
            <w:r>
              <w:t>原厂上架安装或系统安装服务，原厂≥</w:t>
            </w:r>
            <w:r>
              <w:rPr>
                <w:rFonts w:hint="eastAsia"/>
              </w:rPr>
              <w:t>5</w:t>
            </w:r>
            <w:r>
              <w:t xml:space="preserve"> 年故障硬盘免回收服务，</w:t>
            </w:r>
            <w:r>
              <w:rPr>
                <w:rFonts w:hint="eastAsia"/>
              </w:rPr>
              <w:t>原厂</w:t>
            </w:r>
            <w:r>
              <w:t>硬盘数据丢失拯救服务</w:t>
            </w:r>
            <w:r>
              <w:rPr>
                <w:rFonts w:hint="eastAsia"/>
              </w:rPr>
              <w:t>；为保证设备的可</w:t>
            </w:r>
            <w:r>
              <w:rPr>
                <w:rFonts w:hint="eastAsia"/>
                <w:color w:val="auto"/>
              </w:rPr>
              <w:t>靠性服务，供应商需对本服务做出承诺。</w:t>
            </w:r>
          </w:p>
        </w:tc>
        <w:tc>
          <w:tcPr>
            <w:tcW w:w="1761" w:type="dxa"/>
            <w:tcBorders>
              <w:top w:val="single" w:color="auto" w:sz="4" w:space="0"/>
              <w:bottom w:val="single" w:color="auto" w:sz="4" w:space="0"/>
              <w:right w:val="single" w:color="auto" w:sz="4" w:space="0"/>
            </w:tcBorders>
            <w:vAlign w:val="center"/>
          </w:tcPr>
          <w:p w14:paraId="7E71C787">
            <w:pPr>
              <w:jc w:val="center"/>
            </w:pPr>
            <w:r>
              <w:rPr>
                <w:rFonts w:hint="eastAsia"/>
              </w:rPr>
              <w:t>是</w:t>
            </w:r>
          </w:p>
        </w:tc>
      </w:tr>
      <w:tr w14:paraId="7964E225">
        <w:tblPrEx>
          <w:tblCellMar>
            <w:top w:w="0" w:type="dxa"/>
            <w:left w:w="108" w:type="dxa"/>
            <w:bottom w:w="0" w:type="dxa"/>
            <w:right w:w="108" w:type="dxa"/>
          </w:tblCellMar>
        </w:tblPrEx>
        <w:trPr>
          <w:trHeight w:val="360" w:hRule="atLeast"/>
          <w:jc w:val="center"/>
        </w:trPr>
        <w:tc>
          <w:tcPr>
            <w:tcW w:w="1921" w:type="dxa"/>
            <w:tcBorders>
              <w:top w:val="single" w:color="auto" w:sz="4" w:space="0"/>
              <w:left w:val="single" w:color="auto" w:sz="4" w:space="0"/>
              <w:bottom w:val="single" w:color="auto" w:sz="4" w:space="0"/>
              <w:right w:val="single" w:color="000000" w:sz="4" w:space="0"/>
            </w:tcBorders>
            <w:vAlign w:val="center"/>
          </w:tcPr>
          <w:p w14:paraId="1D7E5A03">
            <w:pPr>
              <w:jc w:val="center"/>
            </w:pPr>
            <w:r>
              <w:rPr>
                <w:rFonts w:hint="eastAsia"/>
              </w:rPr>
              <w:t>★政策性</w:t>
            </w:r>
          </w:p>
        </w:tc>
        <w:tc>
          <w:tcPr>
            <w:tcW w:w="5142" w:type="dxa"/>
            <w:tcBorders>
              <w:top w:val="single" w:color="auto" w:sz="4" w:space="0"/>
              <w:bottom w:val="single" w:color="auto" w:sz="4" w:space="0"/>
              <w:right w:val="single" w:color="auto" w:sz="4" w:space="0"/>
            </w:tcBorders>
            <w:vAlign w:val="center"/>
          </w:tcPr>
          <w:p w14:paraId="134FD9D8">
            <w:r>
              <w:rPr>
                <w:rFonts w:hint="eastAsia"/>
              </w:rPr>
              <w:t>所投产品符合财政部、工信部发布的《通用服务器政府采购需求标准（2023年版）》中所有：“*”的指标要求内容。</w:t>
            </w:r>
          </w:p>
        </w:tc>
        <w:tc>
          <w:tcPr>
            <w:tcW w:w="1761" w:type="dxa"/>
            <w:tcBorders>
              <w:top w:val="single" w:color="auto" w:sz="4" w:space="0"/>
              <w:bottom w:val="single" w:color="auto" w:sz="4" w:space="0"/>
              <w:right w:val="single" w:color="auto" w:sz="4" w:space="0"/>
            </w:tcBorders>
            <w:vAlign w:val="center"/>
          </w:tcPr>
          <w:p w14:paraId="22175412">
            <w:pPr>
              <w:jc w:val="center"/>
            </w:pPr>
            <w:r>
              <w:rPr>
                <w:rFonts w:hint="eastAsia"/>
              </w:rPr>
              <w:t>否</w:t>
            </w:r>
          </w:p>
        </w:tc>
      </w:tr>
    </w:tbl>
    <w:p w14:paraId="0D3F8D59">
      <w:pPr>
        <w:spacing w:line="360" w:lineRule="auto"/>
        <w:outlineLvl w:val="0"/>
        <w:rPr>
          <w:rFonts w:hint="eastAsia" w:ascii="宋体" w:hAnsi="宋体"/>
          <w:b/>
          <w:sz w:val="24"/>
          <w:szCs w:val="24"/>
        </w:rPr>
      </w:pPr>
    </w:p>
    <w:p w14:paraId="27AA71B1">
      <w:pPr>
        <w:spacing w:line="360" w:lineRule="auto"/>
        <w:outlineLvl w:val="0"/>
        <w:rPr>
          <w:rFonts w:hint="eastAsia" w:ascii="宋体" w:hAnsi="宋体"/>
          <w:b/>
          <w:sz w:val="24"/>
          <w:szCs w:val="24"/>
        </w:rPr>
      </w:pPr>
      <w:r>
        <w:rPr>
          <w:rFonts w:hint="eastAsia" w:ascii="宋体" w:hAnsi="宋体"/>
          <w:b/>
          <w:sz w:val="24"/>
          <w:szCs w:val="24"/>
        </w:rPr>
        <w:t>超融合软件系统 （</w:t>
      </w:r>
      <w:r>
        <w:rPr>
          <w:rFonts w:hint="eastAsia" w:ascii="宋体" w:hAnsi="宋体"/>
          <w:b/>
          <w:sz w:val="24"/>
          <w:szCs w:val="24"/>
          <w:u w:val="single"/>
        </w:rPr>
        <w:t xml:space="preserve"> 1</w:t>
      </w:r>
      <w:r>
        <w:rPr>
          <w:rFonts w:hint="eastAsia" w:ascii="宋体" w:hAnsi="宋体"/>
          <w:b/>
          <w:sz w:val="24"/>
          <w:szCs w:val="24"/>
        </w:rPr>
        <w:t>套）</w:t>
      </w:r>
    </w:p>
    <w:p w14:paraId="4B5013FF">
      <w:pPr>
        <w:spacing w:line="360" w:lineRule="auto"/>
        <w:outlineLvl w:val="0"/>
        <w:rPr>
          <w:rFonts w:hint="eastAsia" w:ascii="宋体" w:hAnsi="宋体"/>
        </w:rPr>
      </w:pPr>
      <w:r>
        <w:rPr>
          <w:rFonts w:hint="eastAsia" w:ascii="宋体" w:hAnsi="宋体"/>
        </w:rPr>
        <w:t>1.★软件配置：配置5节点超融合正式授权，CPU授权数≥10个，配置计算虚拟化、网络虚拟化、存储虚拟化、管理平台，永久软件授权包括5年原厂服务；上述所有软件产品</w:t>
      </w:r>
      <w:r>
        <w:rPr>
          <w:rFonts w:ascii="宋体" w:hAnsi="宋体"/>
        </w:rPr>
        <w:t>必须为国产非OME产品</w:t>
      </w:r>
      <w:r>
        <w:rPr>
          <w:rFonts w:hint="eastAsia" w:ascii="宋体" w:hAnsi="宋体"/>
        </w:rPr>
        <w:t>，</w:t>
      </w:r>
      <w:r>
        <w:rPr>
          <w:rFonts w:ascii="宋体" w:hAnsi="宋体"/>
        </w:rPr>
        <w:t>最终用户为“</w:t>
      </w:r>
      <w:r>
        <w:rPr>
          <w:rFonts w:hint="eastAsia" w:ascii="宋体" w:hAnsi="宋体"/>
        </w:rPr>
        <w:t>江苏大学附属医院</w:t>
      </w:r>
      <w:r>
        <w:rPr>
          <w:rFonts w:ascii="宋体" w:hAnsi="宋体"/>
        </w:rPr>
        <w:t>”</w:t>
      </w:r>
      <w:r>
        <w:rPr>
          <w:rFonts w:hint="eastAsia" w:ascii="宋体" w:hAnsi="宋体"/>
        </w:rPr>
        <w:t>。</w:t>
      </w:r>
    </w:p>
    <w:p w14:paraId="30EA2898">
      <w:pPr>
        <w:spacing w:line="360" w:lineRule="auto"/>
        <w:outlineLvl w:val="0"/>
        <w:rPr>
          <w:rFonts w:hint="eastAsia" w:ascii="宋体" w:hAnsi="宋体"/>
        </w:rPr>
      </w:pPr>
      <w:r>
        <w:rPr>
          <w:rFonts w:hint="eastAsia" w:ascii="宋体" w:hAnsi="宋体"/>
        </w:rPr>
        <w:t>2. ▲CPU兼容性：支持跨代CPU兼容功能，可支持多种（4 种或以上）vCPU 指令集，并且可支持 VM 粒度进行调整，其中 vCPU 在非直通情况下，指令集需要支持 SkyLake 系列或以上，保证集群内不同硬件平台对业务虚拟机的可用性及高性能保证。（提供产品功能截图）。</w:t>
      </w:r>
    </w:p>
    <w:p w14:paraId="0CBFE34E">
      <w:pPr>
        <w:spacing w:line="360" w:lineRule="auto"/>
        <w:outlineLvl w:val="0"/>
        <w:rPr>
          <w:rFonts w:hint="eastAsia" w:ascii="宋体" w:hAnsi="宋体"/>
        </w:rPr>
      </w:pPr>
      <w:r>
        <w:rPr>
          <w:rFonts w:hint="eastAsia" w:ascii="宋体" w:hAnsi="宋体"/>
        </w:rPr>
        <w:t>3. 虚拟机热迁移：支持将主机上的虚拟机热迁移至集群内其他主机上，迁移过程中业务不中断。</w:t>
      </w:r>
    </w:p>
    <w:p w14:paraId="7FF5D8F3">
      <w:pPr>
        <w:spacing w:line="360" w:lineRule="auto"/>
        <w:outlineLvl w:val="0"/>
        <w:rPr>
          <w:rFonts w:hint="eastAsia" w:ascii="宋体" w:hAnsi="宋体"/>
        </w:rPr>
      </w:pPr>
      <w:r>
        <w:rPr>
          <w:rFonts w:hint="eastAsia" w:ascii="宋体" w:hAnsi="宋体"/>
        </w:rPr>
        <w:t>4. ▲实现技术：采用自主研发的企业级分布式存储软件，非采用开源产品（例如GlusterFS、Ceph等）进行二次开发，提供所投产品型号及相应版本的根内核系统相关证明截图（签订合同时提供所投产品进行测试验证）</w:t>
      </w:r>
    </w:p>
    <w:p w14:paraId="56B2CFC7">
      <w:pPr>
        <w:spacing w:line="360" w:lineRule="auto"/>
        <w:outlineLvl w:val="0"/>
        <w:rPr>
          <w:rFonts w:hint="eastAsia" w:ascii="宋体" w:hAnsi="宋体"/>
        </w:rPr>
      </w:pPr>
      <w:r>
        <w:rPr>
          <w:rFonts w:hint="eastAsia" w:ascii="宋体" w:hAnsi="宋体"/>
        </w:rPr>
        <w:t>5. ▲存储策略：支持纠删码(EC)的存储策略，支持 2+1、4+1、4+2 等多种配比(要求提供 CNAS 认可的检测机构出具的检测报告检测结果，未提供视为不满足)。</w:t>
      </w:r>
    </w:p>
    <w:p w14:paraId="3596AF99">
      <w:pPr>
        <w:spacing w:line="360" w:lineRule="auto"/>
        <w:outlineLvl w:val="0"/>
        <w:rPr>
          <w:rFonts w:hint="eastAsia" w:ascii="宋体" w:hAnsi="宋体"/>
        </w:rPr>
      </w:pPr>
      <w:r>
        <w:rPr>
          <w:rFonts w:hint="eastAsia" w:ascii="宋体" w:hAnsi="宋体"/>
        </w:rPr>
        <w:t>6. 亚健康盘检测：配置亚健康盘探测隔离自动数据恢复功能，主动发现亚健康盘，对亚健康盘进行隔离，并自动数据恢复，提高系统可用性减少风险，避免亚健康盘带来IO延迟提高和吞吐性能下降，从而保证系统的整体性能稳定。</w:t>
      </w:r>
    </w:p>
    <w:p w14:paraId="5D0AE2E3">
      <w:pPr>
        <w:spacing w:line="360" w:lineRule="auto"/>
        <w:outlineLvl w:val="0"/>
        <w:rPr>
          <w:rFonts w:hint="eastAsia" w:ascii="宋体" w:hAnsi="宋体"/>
        </w:rPr>
      </w:pPr>
      <w:r>
        <w:rPr>
          <w:rFonts w:hint="eastAsia" w:ascii="宋体" w:hAnsi="宋体"/>
        </w:rPr>
        <w:t>7. 动态数据恢复：动态感知上层业务压力，在不影响用户的业务IO前提下，智能调整集群的数据恢复／迁移速率。高负载时自动降低数据恢复速率，避免数据恢复对上层业务IO产生影响，在低负载情况下提升数据恢复，提供白皮书和管理界面截图证明材料。</w:t>
      </w:r>
    </w:p>
    <w:p w14:paraId="053723B0">
      <w:pPr>
        <w:spacing w:line="360" w:lineRule="auto"/>
        <w:outlineLvl w:val="0"/>
        <w:rPr>
          <w:rFonts w:hint="eastAsia" w:ascii="宋体" w:hAnsi="宋体"/>
        </w:rPr>
      </w:pPr>
      <w:r>
        <w:rPr>
          <w:rFonts w:hint="eastAsia" w:ascii="宋体" w:hAnsi="宋体"/>
        </w:rPr>
        <w:t>8. 机架级别高可用：配置基于服务器机架拓扑感知的数据放置功能，防止数据的多个副本放置在同一机架空间内。避免出现由于单一机架的电源、网络故障或机柜受潮造成的数据无法访问，提供白皮书和管理界面截图证明材料。</w:t>
      </w:r>
    </w:p>
    <w:p w14:paraId="5EDC6D06">
      <w:pPr>
        <w:pStyle w:val="15"/>
        <w:widowControl/>
        <w:spacing w:before="0" w:after="0" w:line="360" w:lineRule="auto"/>
        <w:rPr>
          <w:rFonts w:hint="eastAsia" w:ascii="宋体" w:hAnsi="宋体" w:eastAsia="宋体"/>
          <w:b w:val="0"/>
          <w:bCs w:val="0"/>
          <w:sz w:val="21"/>
          <w:szCs w:val="24"/>
        </w:rPr>
      </w:pPr>
      <w:r>
        <w:rPr>
          <w:rFonts w:hint="eastAsia" w:ascii="宋体" w:hAnsi="宋体" w:eastAsia="宋体"/>
          <w:b w:val="0"/>
          <w:bCs w:val="0"/>
          <w:sz w:val="21"/>
          <w:szCs w:val="24"/>
        </w:rPr>
        <w:t>9. ▲异构扩容：支持同一个超融合系统中服务器配置不同，如配置不同的 CPU、SSD、HDD 等，支持非一体机的超融合软件部署到不同品牌的服务器。提供官网证明截图及链接。（要求提供CNAS认可的检测机构出具的检测报告检测结果，未提供视为不满足）。</w:t>
      </w:r>
    </w:p>
    <w:p w14:paraId="78643DC8">
      <w:pPr>
        <w:pStyle w:val="15"/>
        <w:widowControl/>
        <w:spacing w:before="0" w:after="0" w:line="360" w:lineRule="auto"/>
        <w:rPr>
          <w:rFonts w:hint="eastAsia" w:ascii="宋体" w:hAnsi="宋体" w:eastAsia="宋体"/>
          <w:b w:val="0"/>
          <w:bCs w:val="0"/>
          <w:sz w:val="21"/>
          <w:szCs w:val="24"/>
        </w:rPr>
      </w:pPr>
      <w:r>
        <w:rPr>
          <w:rFonts w:hint="eastAsia" w:ascii="宋体" w:hAnsi="宋体" w:eastAsia="宋体"/>
          <w:b w:val="0"/>
          <w:bCs w:val="0"/>
          <w:sz w:val="21"/>
          <w:szCs w:val="24"/>
        </w:rPr>
        <w:t>10. 存储协议：提供标准的NFS或iSCSI存储访问协议。可将超融合集群的存储资源作为共享存储挂载给外部的物理机或者虚拟机使用，提供白皮书和管理界面截图证明材料。</w:t>
      </w:r>
    </w:p>
    <w:p w14:paraId="7BC5F6A4">
      <w:pPr>
        <w:spacing w:line="360" w:lineRule="auto"/>
        <w:outlineLvl w:val="0"/>
        <w:rPr>
          <w:rFonts w:hint="eastAsia" w:ascii="宋体" w:hAnsi="宋体"/>
          <w:b/>
          <w:sz w:val="24"/>
          <w:szCs w:val="24"/>
        </w:rPr>
      </w:pPr>
    </w:p>
    <w:p w14:paraId="2482BE71">
      <w:pPr>
        <w:spacing w:line="360" w:lineRule="auto"/>
        <w:outlineLvl w:val="0"/>
        <w:rPr>
          <w:rFonts w:hint="eastAsia" w:hAnsi="宋体"/>
          <w:b/>
          <w:sz w:val="24"/>
          <w:szCs w:val="24"/>
        </w:rPr>
      </w:pPr>
      <w:r>
        <w:rPr>
          <w:rFonts w:hint="eastAsia" w:ascii="宋体" w:hAnsi="宋体"/>
          <w:b/>
          <w:sz w:val="24"/>
          <w:szCs w:val="24"/>
        </w:rPr>
        <w:t>2. 网络交换机 （</w:t>
      </w:r>
      <w:r>
        <w:rPr>
          <w:rFonts w:hint="eastAsia" w:ascii="宋体" w:hAnsi="宋体"/>
          <w:b/>
          <w:sz w:val="24"/>
          <w:szCs w:val="24"/>
          <w:u w:val="single"/>
        </w:rPr>
        <w:t xml:space="preserve"> 2 </w:t>
      </w:r>
      <w:r>
        <w:rPr>
          <w:rFonts w:hint="eastAsia" w:ascii="宋体" w:hAnsi="宋体"/>
          <w:b/>
          <w:sz w:val="24"/>
          <w:szCs w:val="24"/>
        </w:rPr>
        <w:t>台）</w:t>
      </w:r>
    </w:p>
    <w:tbl>
      <w:tblPr>
        <w:tblStyle w:val="20"/>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2"/>
        <w:gridCol w:w="6715"/>
      </w:tblGrid>
      <w:tr w14:paraId="0B6A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82" w:type="dxa"/>
            <w:vAlign w:val="center"/>
          </w:tcPr>
          <w:p w14:paraId="70F5A927">
            <w:pPr>
              <w:jc w:val="center"/>
              <w:rPr>
                <w:rFonts w:hint="eastAsia" w:ascii="宋体" w:hAnsi="宋体" w:cs="宋体"/>
                <w:b/>
                <w:bCs/>
                <w:color w:val="000000"/>
                <w:sz w:val="24"/>
              </w:rPr>
            </w:pPr>
            <w:r>
              <w:rPr>
                <w:rFonts w:hint="eastAsia" w:ascii="宋体" w:hAnsi="宋体" w:cs="宋体"/>
                <w:b/>
                <w:bCs/>
                <w:color w:val="000000"/>
                <w:sz w:val="24"/>
              </w:rPr>
              <w:t>指标分类</w:t>
            </w:r>
          </w:p>
        </w:tc>
        <w:tc>
          <w:tcPr>
            <w:tcW w:w="6715" w:type="dxa"/>
            <w:vAlign w:val="center"/>
          </w:tcPr>
          <w:p w14:paraId="6F945DF0">
            <w:pPr>
              <w:jc w:val="center"/>
              <w:rPr>
                <w:rFonts w:hint="eastAsia" w:ascii="宋体" w:hAnsi="宋体" w:cs="宋体"/>
                <w:b/>
                <w:bCs/>
                <w:color w:val="000000"/>
                <w:sz w:val="24"/>
              </w:rPr>
            </w:pPr>
            <w:r>
              <w:rPr>
                <w:rFonts w:hint="eastAsia" w:ascii="宋体" w:hAnsi="宋体" w:cs="宋体"/>
                <w:b/>
                <w:bCs/>
                <w:color w:val="000000"/>
                <w:sz w:val="24"/>
              </w:rPr>
              <w:t>详细技术参数</w:t>
            </w:r>
          </w:p>
        </w:tc>
      </w:tr>
      <w:tr w14:paraId="4D33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882" w:type="dxa"/>
            <w:vAlign w:val="center"/>
          </w:tcPr>
          <w:p w14:paraId="5E6684C5">
            <w:pPr>
              <w:jc w:val="center"/>
            </w:pPr>
            <w:r>
              <w:rPr>
                <w:rFonts w:hint="eastAsia"/>
              </w:rPr>
              <w:t>▲交换容量</w:t>
            </w:r>
          </w:p>
        </w:tc>
        <w:tc>
          <w:tcPr>
            <w:tcW w:w="6715" w:type="dxa"/>
            <w:vAlign w:val="center"/>
          </w:tcPr>
          <w:p w14:paraId="71AB5A76">
            <w:r>
              <w:rPr>
                <w:rFonts w:hint="eastAsia"/>
              </w:rPr>
              <w:t>交换容量≥</w:t>
            </w:r>
            <w:r>
              <w:t>8Tbps/128Tbps</w:t>
            </w:r>
            <w:r>
              <w:rPr>
                <w:rFonts w:hint="eastAsia"/>
              </w:rPr>
              <w:t>；</w:t>
            </w:r>
          </w:p>
        </w:tc>
      </w:tr>
      <w:tr w14:paraId="728A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882" w:type="dxa"/>
            <w:vAlign w:val="center"/>
          </w:tcPr>
          <w:p w14:paraId="520330AB">
            <w:pPr>
              <w:jc w:val="center"/>
            </w:pPr>
            <w:r>
              <w:rPr>
                <w:rFonts w:hint="eastAsia"/>
              </w:rPr>
              <w:t>▲转发性能</w:t>
            </w:r>
          </w:p>
        </w:tc>
        <w:tc>
          <w:tcPr>
            <w:tcW w:w="6715" w:type="dxa"/>
            <w:vAlign w:val="center"/>
          </w:tcPr>
          <w:p w14:paraId="3582025B">
            <w:r>
              <w:rPr>
                <w:rFonts w:hint="eastAsia"/>
              </w:rPr>
              <w:t>转发性能≥</w:t>
            </w:r>
            <w:r>
              <w:t>2</w:t>
            </w:r>
            <w:r>
              <w:rPr>
                <w:rFonts w:hint="eastAsia"/>
              </w:rPr>
              <w:t>4</w:t>
            </w:r>
            <w:r>
              <w:t>00Mpps</w:t>
            </w:r>
            <w:r>
              <w:rPr>
                <w:rFonts w:hint="eastAsia"/>
              </w:rPr>
              <w:t>；</w:t>
            </w:r>
          </w:p>
        </w:tc>
      </w:tr>
      <w:tr w14:paraId="268E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882" w:type="dxa"/>
            <w:vAlign w:val="center"/>
          </w:tcPr>
          <w:p w14:paraId="093DBD29">
            <w:pPr>
              <w:jc w:val="center"/>
            </w:pPr>
            <w:r>
              <w:rPr>
                <w:rFonts w:hint="eastAsia"/>
              </w:rPr>
              <w:t>硬件规格</w:t>
            </w:r>
          </w:p>
        </w:tc>
        <w:tc>
          <w:tcPr>
            <w:tcW w:w="6715" w:type="dxa"/>
            <w:vAlign w:val="center"/>
          </w:tcPr>
          <w:p w14:paraId="5F2C8743">
            <w:r>
              <w:rPr>
                <w:rFonts w:hint="eastAsia"/>
              </w:rPr>
              <w:t>≥48个10G/25G SFP28端口，≥8个40G/100G QSFP28端口，CPU和转发芯片为国产芯片；模块化风扇 ≥ 5；</w:t>
            </w:r>
          </w:p>
        </w:tc>
      </w:tr>
      <w:tr w14:paraId="16FD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882" w:type="dxa"/>
            <w:vAlign w:val="center"/>
          </w:tcPr>
          <w:p w14:paraId="5420572E">
            <w:pPr>
              <w:jc w:val="center"/>
            </w:pPr>
            <w:r>
              <w:rPr>
                <w:rFonts w:hint="eastAsia"/>
              </w:rPr>
              <w:t>软件规格</w:t>
            </w:r>
          </w:p>
        </w:tc>
        <w:tc>
          <w:tcPr>
            <w:tcW w:w="6715" w:type="dxa"/>
            <w:vAlign w:val="center"/>
          </w:tcPr>
          <w:p w14:paraId="1EC2AD0E">
            <w:r>
              <w:rPr>
                <w:rFonts w:hint="eastAsia"/>
              </w:rPr>
              <w:t>包转发率≥2000Mpps；路由表项≥700K，MAC地址表≥700K；</w:t>
            </w:r>
          </w:p>
        </w:tc>
      </w:tr>
      <w:tr w14:paraId="5F59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882" w:type="dxa"/>
            <w:vAlign w:val="center"/>
          </w:tcPr>
          <w:p w14:paraId="4FDCE6AF">
            <w:pPr>
              <w:jc w:val="center"/>
            </w:pPr>
            <w:r>
              <w:rPr>
                <w:rFonts w:hint="eastAsia"/>
              </w:rPr>
              <w:t>协议功能</w:t>
            </w:r>
          </w:p>
        </w:tc>
        <w:tc>
          <w:tcPr>
            <w:tcW w:w="6715" w:type="dxa"/>
            <w:vAlign w:val="center"/>
          </w:tcPr>
          <w:p w14:paraId="124B3B6F">
            <w:r>
              <w:rPr>
                <w:rFonts w:hint="eastAsia"/>
              </w:rPr>
              <w:t>支持DCBX,ETS；支持VXLAN分布式网关，VXLAN集中式网关；支持PTP 4种profile；支持微分段实现服务链（Service chain）功能。</w:t>
            </w:r>
          </w:p>
        </w:tc>
      </w:tr>
    </w:tbl>
    <w:p w14:paraId="28B9C397">
      <w:pPr>
        <w:spacing w:line="360" w:lineRule="auto"/>
        <w:outlineLvl w:val="0"/>
        <w:rPr>
          <w:rFonts w:hint="eastAsia" w:ascii="宋体" w:hAnsi="宋体"/>
          <w:b/>
          <w:sz w:val="24"/>
          <w:szCs w:val="24"/>
        </w:rPr>
      </w:pPr>
    </w:p>
    <w:p w14:paraId="3A409A88">
      <w:pPr>
        <w:spacing w:line="360" w:lineRule="auto"/>
        <w:outlineLvl w:val="0"/>
        <w:rPr>
          <w:rFonts w:hint="eastAsia" w:ascii="宋体" w:hAnsi="宋体"/>
          <w:sz w:val="24"/>
          <w:szCs w:val="24"/>
        </w:rPr>
      </w:pPr>
      <w:r>
        <w:rPr>
          <w:rFonts w:hint="eastAsia" w:ascii="宋体" w:hAnsi="宋体"/>
          <w:b/>
          <w:sz w:val="24"/>
          <w:szCs w:val="24"/>
        </w:rPr>
        <w:t>3</w:t>
      </w:r>
      <w:r>
        <w:rPr>
          <w:rFonts w:hint="eastAsia" w:ascii="宋体" w:hAnsi="宋体"/>
          <w:sz w:val="24"/>
          <w:szCs w:val="24"/>
        </w:rPr>
        <w:t>．</w:t>
      </w:r>
      <w:r>
        <w:rPr>
          <w:rFonts w:hint="eastAsia" w:ascii="宋体" w:hAnsi="宋体"/>
          <w:b/>
          <w:sz w:val="24"/>
          <w:szCs w:val="24"/>
        </w:rPr>
        <w:t xml:space="preserve">灾备软件 </w:t>
      </w:r>
      <w:r>
        <w:rPr>
          <w:rFonts w:hint="eastAsia" w:ascii="宋体" w:hAnsi="宋体"/>
          <w:sz w:val="24"/>
          <w:szCs w:val="24"/>
        </w:rPr>
        <w:t>（ 1套）</w:t>
      </w:r>
    </w:p>
    <w:p w14:paraId="79D2AC2A">
      <w:pPr>
        <w:numPr>
          <w:ilvl w:val="0"/>
          <w:numId w:val="1"/>
        </w:numPr>
        <w:spacing w:line="360" w:lineRule="auto"/>
        <w:rPr>
          <w:rFonts w:hint="eastAsia" w:ascii="宋体" w:hAnsi="宋体"/>
        </w:rPr>
      </w:pPr>
      <w:r>
        <w:rPr>
          <w:rFonts w:hint="eastAsia" w:ascii="宋体" w:hAnsi="宋体"/>
        </w:rPr>
        <w:t>★本次配置≥80TB备份容量授权，提供无限制个数的操作系统、文件、数据库授权许可；授权功能包含无限数据压缩重删、永久增量、虚拟机LAN- free、虚拟机即时挂载恢复、虚拟机异构无代理恢复、副本数据管理、异地远程复制、备份数据防勒索、可视化大屏展示等功能模块。</w:t>
      </w:r>
    </w:p>
    <w:p w14:paraId="77AD5AFF">
      <w:pPr>
        <w:numPr>
          <w:ilvl w:val="0"/>
          <w:numId w:val="1"/>
        </w:numPr>
        <w:spacing w:line="360" w:lineRule="auto"/>
        <w:rPr>
          <w:rFonts w:hint="eastAsia" w:ascii="宋体" w:hAnsi="宋体"/>
        </w:rPr>
      </w:pPr>
      <w:r>
        <w:rPr>
          <w:rFonts w:hint="eastAsia" w:ascii="宋体" w:hAnsi="宋体"/>
        </w:rPr>
        <w:t>基于Linux 64位系统(非Windows或Unix)的专用容灾备份系统，支持所有的备份恢复工作的统一界面管理，可根据模块选择B/S和C/S管理方式，C/S管理软件可直接部署在Windows系统，满足不同环境的管理需求。</w:t>
      </w:r>
    </w:p>
    <w:p w14:paraId="6C987F0C">
      <w:pPr>
        <w:numPr>
          <w:ilvl w:val="0"/>
          <w:numId w:val="1"/>
        </w:numPr>
        <w:spacing w:line="360" w:lineRule="auto"/>
        <w:rPr>
          <w:rFonts w:hint="eastAsia" w:ascii="宋体" w:hAnsi="宋体"/>
        </w:rPr>
      </w:pPr>
      <w:r>
        <w:rPr>
          <w:rFonts w:hint="eastAsia" w:ascii="宋体" w:hAnsi="宋体"/>
        </w:rPr>
        <w:t>▲支持国产ARM和X86架构虚拟化平台的无代理备份，支持市场主流虚拟化平台的备份恢复，备份过程中无需在虚拟机中安装任何代理，支持单机和集群部署环境。（提供但不限于以上虚拟化或云平台厂商与灾备厂商的兼容性互证书）。</w:t>
      </w:r>
    </w:p>
    <w:p w14:paraId="4E964D05">
      <w:pPr>
        <w:numPr>
          <w:ilvl w:val="0"/>
          <w:numId w:val="1"/>
        </w:numPr>
        <w:spacing w:line="360" w:lineRule="auto"/>
        <w:rPr>
          <w:rFonts w:hint="eastAsia" w:ascii="宋体" w:hAnsi="宋体"/>
        </w:rPr>
      </w:pPr>
      <w:r>
        <w:rPr>
          <w:rFonts w:hint="eastAsia" w:ascii="宋体" w:hAnsi="宋体"/>
        </w:rPr>
        <w:t>▲无需借助虚拟化平台的迁移功能，备份系统自身提供免代理即时恢复后的虚拟机在线迁移功能，可将备份数据直接迁移回生产存储。（提供即时恢复后迁移操作视频，视频须配有同步普通话介绍）。</w:t>
      </w:r>
    </w:p>
    <w:p w14:paraId="74CD040B">
      <w:pPr>
        <w:numPr>
          <w:ilvl w:val="0"/>
          <w:numId w:val="1"/>
        </w:numPr>
        <w:spacing w:line="360" w:lineRule="auto"/>
        <w:rPr>
          <w:rFonts w:hint="eastAsia" w:ascii="宋体" w:hAnsi="宋体"/>
        </w:rPr>
      </w:pPr>
      <w:r>
        <w:rPr>
          <w:rFonts w:hint="eastAsia" w:ascii="宋体" w:hAnsi="宋体"/>
        </w:rPr>
        <w:t>▲提供对备份点的不同验证方式，支持网络连接验证、心跳监听验证、开机截屏验证，并提供报告。（提供功能动态演示视频，视频须配有同步普通话介绍）。</w:t>
      </w:r>
    </w:p>
    <w:p w14:paraId="3194FA89">
      <w:pPr>
        <w:numPr>
          <w:ilvl w:val="0"/>
          <w:numId w:val="1"/>
        </w:numPr>
        <w:spacing w:line="360" w:lineRule="auto"/>
        <w:rPr>
          <w:rFonts w:hint="eastAsia" w:ascii="宋体" w:hAnsi="宋体"/>
        </w:rPr>
      </w:pPr>
      <w:r>
        <w:rPr>
          <w:rFonts w:hint="eastAsia" w:ascii="宋体" w:hAnsi="宋体"/>
        </w:rPr>
        <w:t>▲实时备份功能可实现自动扫描并识别主机卷上的应用，通过勾选对应的业务应用，实现该业务应用的CDP持续数据保护能力，并在业务恢复时进行自动关联和应用接管。（提供产品功能截图并加盖公章)。</w:t>
      </w:r>
    </w:p>
    <w:p w14:paraId="2BD5937D">
      <w:pPr>
        <w:numPr>
          <w:ilvl w:val="0"/>
          <w:numId w:val="1"/>
        </w:numPr>
        <w:spacing w:line="360" w:lineRule="auto"/>
        <w:rPr>
          <w:rFonts w:hint="eastAsia" w:ascii="宋体" w:hAnsi="宋体"/>
        </w:rPr>
      </w:pPr>
      <w:r>
        <w:rPr>
          <w:rFonts w:hint="eastAsia" w:ascii="宋体" w:hAnsi="宋体"/>
        </w:rPr>
        <w:t>虚拟机备份作业提供GFS保留功能策略，提供按每周、每月或每年自动设置标签点，实现长期数据保留和分级数据管理。</w:t>
      </w:r>
    </w:p>
    <w:p w14:paraId="1B45F02C">
      <w:pPr>
        <w:numPr>
          <w:ilvl w:val="0"/>
          <w:numId w:val="1"/>
        </w:numPr>
        <w:spacing w:line="360" w:lineRule="auto"/>
        <w:rPr>
          <w:rFonts w:hint="eastAsia" w:ascii="宋体" w:hAnsi="宋体"/>
        </w:rPr>
      </w:pPr>
      <w:r>
        <w:rPr>
          <w:rFonts w:hint="eastAsia" w:ascii="宋体" w:hAnsi="宋体"/>
        </w:rPr>
        <w:t>▲考虑数据安全的重要性，备份任务创建时针对备份数据可自定义设置密码，以保证数据的安全，恢复此数据时必须输入密码验证才可执行，防止非法登录备份系统、恶意恢复造成备份数据泄露；（提供具有CNAS或CMA的第三方测试机构的证明材料，至少包含报告首页，对应功能测试页报告结尾页)。</w:t>
      </w:r>
    </w:p>
    <w:p w14:paraId="475DF56F">
      <w:pPr>
        <w:numPr>
          <w:ilvl w:val="0"/>
          <w:numId w:val="1"/>
        </w:numPr>
        <w:spacing w:line="360" w:lineRule="auto"/>
        <w:rPr>
          <w:rFonts w:hint="eastAsia" w:ascii="宋体" w:hAnsi="宋体"/>
        </w:rPr>
      </w:pPr>
      <w:r>
        <w:rPr>
          <w:rFonts w:hint="eastAsia" w:ascii="宋体" w:hAnsi="宋体"/>
        </w:rPr>
        <w:t>支持集成第三方杀毒工具的独立支持，能够通过可选的实时杀毒扫描和验证等功能提高安全性和减少病毒引起的中断事件，支持国外及国内主流杀毒软件集成。</w:t>
      </w:r>
    </w:p>
    <w:p w14:paraId="39E86014">
      <w:pPr>
        <w:numPr>
          <w:ilvl w:val="0"/>
          <w:numId w:val="1"/>
        </w:numPr>
        <w:spacing w:line="360" w:lineRule="auto"/>
        <w:rPr>
          <w:rFonts w:hint="eastAsia" w:ascii="宋体" w:hAnsi="宋体"/>
        </w:rPr>
      </w:pPr>
      <w:r>
        <w:rPr>
          <w:rFonts w:ascii="宋体" w:hAnsi="宋体"/>
        </w:rPr>
        <w:t>提供</w:t>
      </w:r>
      <w:r>
        <w:rPr>
          <w:rFonts w:hint="eastAsia" w:ascii="宋体" w:hAnsi="宋体"/>
        </w:rPr>
        <w:t>可视化运维监控界面展示</w:t>
      </w:r>
      <w:r>
        <w:rPr>
          <w:rFonts w:ascii="宋体" w:hAnsi="宋体"/>
        </w:rPr>
        <w:t>（非系统首页、系统监控界面），支持动态循环展示当前备份系统各功能模块数据保护状态，包括但不限于任务执行状态、各类数据总量、硬件资源使用情况等信息（提供产品功能截图并加盖</w:t>
      </w:r>
      <w:r>
        <w:rPr>
          <w:rFonts w:hint="eastAsia" w:ascii="宋体" w:hAnsi="宋体"/>
        </w:rPr>
        <w:t>投标人</w:t>
      </w:r>
      <w:r>
        <w:rPr>
          <w:rFonts w:ascii="宋体" w:hAnsi="宋体"/>
        </w:rPr>
        <w:t>公章)</w:t>
      </w:r>
      <w:r>
        <w:rPr>
          <w:rFonts w:hint="eastAsia" w:ascii="宋体" w:hAnsi="宋体"/>
        </w:rPr>
        <w:t>。</w:t>
      </w:r>
    </w:p>
    <w:p w14:paraId="7ACA7063">
      <w:pPr>
        <w:numPr>
          <w:ilvl w:val="0"/>
          <w:numId w:val="1"/>
        </w:numPr>
        <w:spacing w:line="360" w:lineRule="auto"/>
        <w:rPr>
          <w:rFonts w:hint="eastAsia" w:ascii="宋体" w:hAnsi="宋体"/>
        </w:rPr>
      </w:pPr>
      <w:r>
        <w:rPr>
          <w:rFonts w:hint="eastAsia" w:ascii="宋体" w:hAnsi="宋体"/>
        </w:rPr>
        <w:t>备份系统制造商具有三级及以上ITSS云计算服务能力标准符合性证书。</w:t>
      </w:r>
    </w:p>
    <w:p w14:paraId="2B7A1A0F">
      <w:pPr>
        <w:numPr>
          <w:ilvl w:val="0"/>
          <w:numId w:val="1"/>
        </w:numPr>
        <w:spacing w:line="360" w:lineRule="auto"/>
        <w:rPr>
          <w:rFonts w:hint="eastAsia" w:ascii="宋体" w:hAnsi="宋体"/>
        </w:rPr>
      </w:pPr>
      <w:r>
        <w:rPr>
          <w:rFonts w:hint="eastAsia" w:ascii="宋体" w:hAnsi="宋体"/>
        </w:rPr>
        <w:t>提供五年软硬件原厂技术支持服务，包含电话、微信、邮件、远程等多种形式。</w:t>
      </w:r>
    </w:p>
    <w:p w14:paraId="4B10C361">
      <w:pPr>
        <w:rPr>
          <w:rFonts w:hint="eastAsia" w:ascii="宋体" w:hAnsi="宋体" w:cs="宋体"/>
          <w:b/>
          <w:bCs/>
          <w:sz w:val="24"/>
          <w:szCs w:val="24"/>
        </w:rPr>
      </w:pPr>
      <w:r>
        <w:rPr>
          <w:rFonts w:hint="eastAsia" w:ascii="宋体" w:hAnsi="宋体" w:cs="宋体"/>
          <w:b/>
          <w:bCs/>
          <w:sz w:val="24"/>
          <w:szCs w:val="24"/>
        </w:rPr>
        <w:t>本项中打“</w:t>
      </w:r>
      <w:r>
        <w:rPr>
          <w:rFonts w:hint="eastAsia" w:ascii="宋体" w:hAnsi="宋体"/>
        </w:rPr>
        <w:t>★</w:t>
      </w:r>
      <w:r>
        <w:rPr>
          <w:rFonts w:hint="eastAsia" w:ascii="宋体" w:hAnsi="宋体" w:cs="宋体"/>
          <w:b/>
          <w:bCs/>
          <w:sz w:val="24"/>
          <w:szCs w:val="24"/>
        </w:rPr>
        <w:t>”“</w:t>
      </w:r>
      <w:r>
        <w:rPr>
          <w:rFonts w:hint="eastAsia" w:ascii="宋体" w:hAnsi="宋体"/>
        </w:rPr>
        <w:t>▲</w:t>
      </w:r>
      <w:r>
        <w:rPr>
          <w:rFonts w:hint="eastAsia" w:ascii="宋体" w:hAnsi="宋体" w:cs="宋体"/>
          <w:b/>
          <w:bCs/>
          <w:sz w:val="24"/>
          <w:szCs w:val="24"/>
        </w:rPr>
        <w:t>”技术参数，签订合同时提供包含但不限于产品说明书等技术支持资料原件（如白皮书、彩页、手册、官网截图、检测报告等）供采购人核验，未按要求提供或提供的证明材料不满足招标文件技术指标，采购人有权对不满足要求的中标供应商视为虚假应标，按无效投标处理。</w:t>
      </w:r>
    </w:p>
    <w:p w14:paraId="6CDF3C14">
      <w:pPr>
        <w:pStyle w:val="2"/>
      </w:pPr>
    </w:p>
    <w:p w14:paraId="725E1DEE"/>
    <w:p w14:paraId="3BE2BD75">
      <w:pPr>
        <w:pStyle w:val="14"/>
        <w:spacing w:line="360" w:lineRule="auto"/>
        <w:jc w:val="both"/>
        <w:rPr>
          <w:rFonts w:hint="eastAsia" w:ascii="宋体" w:hAnsi="宋体" w:eastAsia="宋体" w:cs="宋体"/>
          <w:b/>
        </w:rPr>
      </w:pPr>
      <w:r>
        <w:rPr>
          <w:rFonts w:hint="eastAsia" w:ascii="宋体" w:hAnsi="宋体" w:eastAsia="宋体" w:cs="宋体"/>
          <w:b/>
        </w:rPr>
        <w:t>三、服务要求</w:t>
      </w:r>
    </w:p>
    <w:p w14:paraId="175C7084">
      <w:pPr>
        <w:spacing w:line="360" w:lineRule="auto"/>
        <w:rPr>
          <w:rFonts w:hint="eastAsia" w:ascii="宋体" w:hAnsi="宋体" w:cs="宋体"/>
          <w:szCs w:val="21"/>
        </w:rPr>
      </w:pPr>
      <w:r>
        <w:rPr>
          <w:rFonts w:hint="eastAsia" w:ascii="宋体" w:hAnsi="宋体" w:cs="宋体"/>
          <w:szCs w:val="21"/>
        </w:rPr>
        <w:t>1、供应商需必须安排不少于1名专业技术人员（工作年限不低于3年）与医院对接，做好软硬件系统使用、宣传、培训和维护工作。在系统软硬件安装、调试完成后，供应商的工程师和技术人员对系统软硬件使用者进行免费的技术培训。培训内容包括后台的使用操作，直至技术人员和操作人员能够熟练掌握为止。参加培训的人员名单由院方自定。供应商应当提供相应的用户手册和技术文档以支撑业务使用人员和院方的技术人员使用。</w:t>
      </w:r>
    </w:p>
    <w:p w14:paraId="632CA4CF">
      <w:pPr>
        <w:spacing w:line="360" w:lineRule="auto"/>
        <w:rPr>
          <w:rFonts w:hint="eastAsia" w:ascii="宋体" w:hAnsi="宋体" w:cs="宋体"/>
          <w:szCs w:val="21"/>
        </w:rPr>
      </w:pPr>
      <w:r>
        <w:rPr>
          <w:rFonts w:hint="eastAsia" w:ascii="宋体" w:hAnsi="宋体" w:cs="宋体"/>
          <w:szCs w:val="21"/>
        </w:rPr>
        <w:t>2、在数据大规模迁移、切换、对接时，供应商需加派专业工程师确保数据更新、切换的准确、稳定、及时。因供应商原因未及时完成本项工作的，每发生1次扣款1000元，发生三次及以上的，甲方有权终止合同。</w:t>
      </w:r>
    </w:p>
    <w:p w14:paraId="04F4581A">
      <w:pPr>
        <w:spacing w:line="360" w:lineRule="auto"/>
        <w:rPr>
          <w:rFonts w:hint="eastAsia" w:ascii="宋体" w:hAnsi="宋体" w:cs="宋体"/>
          <w:szCs w:val="21"/>
        </w:rPr>
      </w:pPr>
      <w:r>
        <w:rPr>
          <w:rFonts w:hint="eastAsia" w:ascii="宋体" w:hAnsi="宋体" w:cs="宋体"/>
          <w:szCs w:val="21"/>
        </w:rPr>
        <w:t>3、如在对接过程中产生数据丢失、出错导致医院运营产生重大生产故障，供应商需在2小时内安排专人配合处理，并在24小时内解决故障，保障甲方正常工作开展，如未按甲方要求解决，甲方有权中止合同。如果产生费用由供应商解决，不得单独收费。对重大的技术问题，供应商技术支持部门应协调组织技术专家小组进行会诊，以确保系统的正常运行。</w:t>
      </w:r>
    </w:p>
    <w:p w14:paraId="04B13A66">
      <w:pPr>
        <w:spacing w:line="360" w:lineRule="auto"/>
        <w:rPr>
          <w:rFonts w:hint="eastAsia" w:ascii="宋体" w:hAnsi="宋体" w:cs="宋体"/>
          <w:szCs w:val="21"/>
        </w:rPr>
      </w:pPr>
      <w:r>
        <w:rPr>
          <w:rFonts w:hint="eastAsia" w:ascii="宋体" w:hAnsi="宋体" w:cs="宋体"/>
          <w:szCs w:val="21"/>
        </w:rPr>
        <w:t>4、供应商需要提供硬件利旧实施方案，提供数据迁移优化服务比如扩容期间虚拟机在线迁移时保障业务连续性、稳定性等。提供旧备份环境和现有备份环境结合使用的服务内容。</w:t>
      </w:r>
    </w:p>
    <w:p w14:paraId="7587DAF9">
      <w:pPr>
        <w:spacing w:line="360" w:lineRule="auto"/>
        <w:rPr>
          <w:rFonts w:hint="eastAsia" w:ascii="宋体" w:hAnsi="宋体" w:cs="宋体"/>
          <w:szCs w:val="21"/>
        </w:rPr>
      </w:pPr>
      <w:r>
        <w:rPr>
          <w:rFonts w:hint="eastAsia" w:ascii="宋体" w:hAnsi="宋体" w:cs="宋体"/>
          <w:szCs w:val="21"/>
        </w:rPr>
        <w:t>5、供应商需提供不少于5年的软硬件产品免费质保服务，质保期内硬件系统配套的软件升级免费，并提供承诺书。提供7*24小时技术响应支持，出现故障2小时内响应解决问题，并详细阐述可行性方案、提供故障分析报告等材料。免费质保期内，对于出现的问题，供应商应负责免费维保。</w:t>
      </w:r>
    </w:p>
    <w:p w14:paraId="789415FE">
      <w:pPr>
        <w:spacing w:line="360" w:lineRule="auto"/>
        <w:jc w:val="left"/>
        <w:rPr>
          <w:rFonts w:hint="eastAsia" w:ascii="宋体" w:hAnsi="宋体" w:cs="宋体"/>
          <w:szCs w:val="21"/>
        </w:rPr>
      </w:pPr>
      <w:r>
        <w:rPr>
          <w:rFonts w:hint="eastAsia" w:ascii="宋体" w:hAnsi="宋体" w:cs="宋体"/>
          <w:szCs w:val="21"/>
        </w:rPr>
        <w:t>6、合同签订后60天内完成全部软硬件安装调试工作。</w:t>
      </w:r>
    </w:p>
    <w:p w14:paraId="2F3FB8FE">
      <w:pPr>
        <w:spacing w:line="360" w:lineRule="auto"/>
        <w:rPr>
          <w:rFonts w:hint="eastAsia" w:ascii="宋体" w:hAnsi="宋体" w:cs="宋体"/>
          <w:szCs w:val="21"/>
        </w:rPr>
      </w:pPr>
      <w:r>
        <w:rPr>
          <w:rFonts w:hint="eastAsia" w:ascii="宋体" w:hAnsi="宋体" w:cs="宋体"/>
          <w:szCs w:val="21"/>
        </w:rPr>
        <w:t>7、集成平台标准满足：在软件功能需求不改变原有工作和管理流程的情况下，按照集成平台的数据传输互联互通要求进行修改。</w:t>
      </w:r>
    </w:p>
    <w:p w14:paraId="798AFEF0">
      <w:pPr>
        <w:pStyle w:val="2"/>
        <w:spacing w:line="360" w:lineRule="auto"/>
        <w:ind w:left="0" w:firstLine="0"/>
        <w:rPr>
          <w:rFonts w:hint="eastAsia" w:hAnsi="宋体" w:cs="宋体"/>
        </w:rPr>
      </w:pPr>
      <w:r>
        <w:rPr>
          <w:rFonts w:hint="eastAsia" w:hAnsi="宋体" w:cs="宋体"/>
        </w:rPr>
        <w:t>★8、数据迁移：承诺在不影响业务正常运行的情况下，需要将医院的生产应用集成平台数据库以及业务应用从现有服务器环境迁移至超融合平台，由中标供应商确保数据的完整性，以及应用的可用性。数据迁移服务费包含在本项目中，数据迁移的完成由集成平台软件厂商确认后，方可完成数据迁移部分验收。</w:t>
      </w:r>
    </w:p>
    <w:p w14:paraId="23525344">
      <w:pPr>
        <w:ind w:firstLine="200"/>
        <w:jc w:val="left"/>
        <w:rPr>
          <w:rFonts w:hint="eastAsia" w:ascii="宋体" w:hAnsi="宋体"/>
          <w:szCs w:val="21"/>
        </w:rPr>
      </w:pPr>
      <w:r>
        <w:rPr>
          <w:rFonts w:hint="eastAsia" w:ascii="宋体" w:hAnsi="宋体" w:cs="宋体"/>
          <w:b/>
          <w:szCs w:val="21"/>
        </w:rPr>
        <w:t>注：</w:t>
      </w:r>
      <w:r>
        <w:rPr>
          <w:rFonts w:hint="eastAsia" w:ascii="宋体" w:hAnsi="宋体" w:cs="宋体"/>
          <w:b/>
          <w:szCs w:val="21"/>
          <w:u w:val="single"/>
        </w:rPr>
        <w:t>必须针对上述要求在投标文件中逐条表述及提供承诺函并加盖公章，若服务要求有负偏离或未提供承诺函，将被视为未实质性响应招标文件要求。</w:t>
      </w:r>
    </w:p>
    <w:p w14:paraId="42AF4A50">
      <w:pPr>
        <w:pStyle w:val="17"/>
        <w:rPr>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7DCB5"/>
    <w:multiLevelType w:val="singleLevel"/>
    <w:tmpl w:val="EE57DCB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zNzg2NGViYzU0MjFhYmZkZTA4NDA0ZWI2YWUxNjYifQ=="/>
  </w:docVars>
  <w:rsids>
    <w:rsidRoot w:val="00312037"/>
    <w:rsid w:val="00017354"/>
    <w:rsid w:val="000208CB"/>
    <w:rsid w:val="00032CD4"/>
    <w:rsid w:val="00074A71"/>
    <w:rsid w:val="000765D1"/>
    <w:rsid w:val="00081849"/>
    <w:rsid w:val="00085731"/>
    <w:rsid w:val="000939D8"/>
    <w:rsid w:val="000A17AA"/>
    <w:rsid w:val="000A5981"/>
    <w:rsid w:val="000F762B"/>
    <w:rsid w:val="00106A9F"/>
    <w:rsid w:val="001214B2"/>
    <w:rsid w:val="00123211"/>
    <w:rsid w:val="001305A7"/>
    <w:rsid w:val="001310BC"/>
    <w:rsid w:val="00136CB2"/>
    <w:rsid w:val="001410B6"/>
    <w:rsid w:val="00182BB7"/>
    <w:rsid w:val="0018664D"/>
    <w:rsid w:val="00191544"/>
    <w:rsid w:val="001A3941"/>
    <w:rsid w:val="001B2187"/>
    <w:rsid w:val="001C30F6"/>
    <w:rsid w:val="001C587B"/>
    <w:rsid w:val="001D075B"/>
    <w:rsid w:val="001E0B2E"/>
    <w:rsid w:val="001F40BA"/>
    <w:rsid w:val="001F6086"/>
    <w:rsid w:val="00204C66"/>
    <w:rsid w:val="00220838"/>
    <w:rsid w:val="002216CD"/>
    <w:rsid w:val="002270FD"/>
    <w:rsid w:val="00227679"/>
    <w:rsid w:val="00245ADB"/>
    <w:rsid w:val="00251465"/>
    <w:rsid w:val="002629F3"/>
    <w:rsid w:val="00274C1C"/>
    <w:rsid w:val="00292044"/>
    <w:rsid w:val="00296425"/>
    <w:rsid w:val="002970BB"/>
    <w:rsid w:val="002A2399"/>
    <w:rsid w:val="002B0E04"/>
    <w:rsid w:val="002B5455"/>
    <w:rsid w:val="002B648D"/>
    <w:rsid w:val="002B7829"/>
    <w:rsid w:val="002C5534"/>
    <w:rsid w:val="002D78B3"/>
    <w:rsid w:val="002D7D95"/>
    <w:rsid w:val="002E5167"/>
    <w:rsid w:val="00301788"/>
    <w:rsid w:val="00312037"/>
    <w:rsid w:val="00345E43"/>
    <w:rsid w:val="00354141"/>
    <w:rsid w:val="00372357"/>
    <w:rsid w:val="00373028"/>
    <w:rsid w:val="00374B45"/>
    <w:rsid w:val="00374E44"/>
    <w:rsid w:val="0039371E"/>
    <w:rsid w:val="003A55D2"/>
    <w:rsid w:val="003D2CB1"/>
    <w:rsid w:val="003D6A65"/>
    <w:rsid w:val="003D7E79"/>
    <w:rsid w:val="00400F3F"/>
    <w:rsid w:val="00402E66"/>
    <w:rsid w:val="004171B7"/>
    <w:rsid w:val="0043510C"/>
    <w:rsid w:val="004625C0"/>
    <w:rsid w:val="004631E4"/>
    <w:rsid w:val="00463DFE"/>
    <w:rsid w:val="00496061"/>
    <w:rsid w:val="004D68A6"/>
    <w:rsid w:val="004F1136"/>
    <w:rsid w:val="004F41D2"/>
    <w:rsid w:val="00515712"/>
    <w:rsid w:val="005345A7"/>
    <w:rsid w:val="00536AB0"/>
    <w:rsid w:val="00545A94"/>
    <w:rsid w:val="00585E99"/>
    <w:rsid w:val="005B15C3"/>
    <w:rsid w:val="005B1635"/>
    <w:rsid w:val="005C2D22"/>
    <w:rsid w:val="005D33B9"/>
    <w:rsid w:val="005E3A8A"/>
    <w:rsid w:val="005F0DB4"/>
    <w:rsid w:val="005F328E"/>
    <w:rsid w:val="00606162"/>
    <w:rsid w:val="0062671C"/>
    <w:rsid w:val="0064026B"/>
    <w:rsid w:val="006404AD"/>
    <w:rsid w:val="00642724"/>
    <w:rsid w:val="006460D9"/>
    <w:rsid w:val="00661A99"/>
    <w:rsid w:val="006732CD"/>
    <w:rsid w:val="006B4213"/>
    <w:rsid w:val="006D47FD"/>
    <w:rsid w:val="006E6931"/>
    <w:rsid w:val="00747E02"/>
    <w:rsid w:val="00750F92"/>
    <w:rsid w:val="00752B85"/>
    <w:rsid w:val="007536CE"/>
    <w:rsid w:val="007662AD"/>
    <w:rsid w:val="0078472C"/>
    <w:rsid w:val="007B1488"/>
    <w:rsid w:val="007B3CCD"/>
    <w:rsid w:val="007C72BA"/>
    <w:rsid w:val="007D1062"/>
    <w:rsid w:val="007D5601"/>
    <w:rsid w:val="007F7356"/>
    <w:rsid w:val="008177E6"/>
    <w:rsid w:val="0087207F"/>
    <w:rsid w:val="00881C7A"/>
    <w:rsid w:val="008E2FA2"/>
    <w:rsid w:val="00905AD9"/>
    <w:rsid w:val="00906F93"/>
    <w:rsid w:val="00907386"/>
    <w:rsid w:val="00907847"/>
    <w:rsid w:val="00907FB2"/>
    <w:rsid w:val="009205C4"/>
    <w:rsid w:val="00927302"/>
    <w:rsid w:val="009276AE"/>
    <w:rsid w:val="00937CB1"/>
    <w:rsid w:val="00946CDB"/>
    <w:rsid w:val="00956267"/>
    <w:rsid w:val="00984936"/>
    <w:rsid w:val="00987E26"/>
    <w:rsid w:val="009907B6"/>
    <w:rsid w:val="009A0D3F"/>
    <w:rsid w:val="009B5E75"/>
    <w:rsid w:val="00A14D1E"/>
    <w:rsid w:val="00A16C27"/>
    <w:rsid w:val="00A20A69"/>
    <w:rsid w:val="00A27020"/>
    <w:rsid w:val="00A3261E"/>
    <w:rsid w:val="00A415E4"/>
    <w:rsid w:val="00A50F55"/>
    <w:rsid w:val="00A51ECD"/>
    <w:rsid w:val="00A56A96"/>
    <w:rsid w:val="00A801A7"/>
    <w:rsid w:val="00A871E2"/>
    <w:rsid w:val="00A9672E"/>
    <w:rsid w:val="00AA2E8A"/>
    <w:rsid w:val="00AA328C"/>
    <w:rsid w:val="00AB4029"/>
    <w:rsid w:val="00AB572A"/>
    <w:rsid w:val="00AC0543"/>
    <w:rsid w:val="00AC60E2"/>
    <w:rsid w:val="00AC6D6D"/>
    <w:rsid w:val="00B07EC3"/>
    <w:rsid w:val="00B2410D"/>
    <w:rsid w:val="00B3378A"/>
    <w:rsid w:val="00B40E3F"/>
    <w:rsid w:val="00B41A93"/>
    <w:rsid w:val="00B473F8"/>
    <w:rsid w:val="00B71BA7"/>
    <w:rsid w:val="00BA0A6C"/>
    <w:rsid w:val="00BE1EBF"/>
    <w:rsid w:val="00C16B51"/>
    <w:rsid w:val="00C23137"/>
    <w:rsid w:val="00C45D02"/>
    <w:rsid w:val="00C67991"/>
    <w:rsid w:val="00C84FAA"/>
    <w:rsid w:val="00CB339A"/>
    <w:rsid w:val="00CE1C76"/>
    <w:rsid w:val="00CE4934"/>
    <w:rsid w:val="00D0705D"/>
    <w:rsid w:val="00D15613"/>
    <w:rsid w:val="00D63D32"/>
    <w:rsid w:val="00D773A3"/>
    <w:rsid w:val="00D87C50"/>
    <w:rsid w:val="00DA2114"/>
    <w:rsid w:val="00DA5D42"/>
    <w:rsid w:val="00DA74E7"/>
    <w:rsid w:val="00DC04D9"/>
    <w:rsid w:val="00DD1734"/>
    <w:rsid w:val="00DE1C1D"/>
    <w:rsid w:val="00DF143B"/>
    <w:rsid w:val="00DF2D07"/>
    <w:rsid w:val="00DF42B2"/>
    <w:rsid w:val="00E14E2D"/>
    <w:rsid w:val="00E16E77"/>
    <w:rsid w:val="00E43C02"/>
    <w:rsid w:val="00E57E00"/>
    <w:rsid w:val="00E60E68"/>
    <w:rsid w:val="00ED3A17"/>
    <w:rsid w:val="00EE168D"/>
    <w:rsid w:val="00EF00A1"/>
    <w:rsid w:val="00F0553A"/>
    <w:rsid w:val="00F33AFD"/>
    <w:rsid w:val="00F4306E"/>
    <w:rsid w:val="00F51F29"/>
    <w:rsid w:val="00F52C1C"/>
    <w:rsid w:val="00F71551"/>
    <w:rsid w:val="00F83A63"/>
    <w:rsid w:val="00F922BD"/>
    <w:rsid w:val="00FA30F7"/>
    <w:rsid w:val="00FA43D3"/>
    <w:rsid w:val="00FC3E22"/>
    <w:rsid w:val="01BD716D"/>
    <w:rsid w:val="03D308FB"/>
    <w:rsid w:val="04385FB7"/>
    <w:rsid w:val="056B006D"/>
    <w:rsid w:val="06D11534"/>
    <w:rsid w:val="08CA2CB8"/>
    <w:rsid w:val="09363C55"/>
    <w:rsid w:val="09774712"/>
    <w:rsid w:val="0A983279"/>
    <w:rsid w:val="0B2F23A3"/>
    <w:rsid w:val="0BD12574"/>
    <w:rsid w:val="0C502D05"/>
    <w:rsid w:val="0E944283"/>
    <w:rsid w:val="0EC5033E"/>
    <w:rsid w:val="109E65C1"/>
    <w:rsid w:val="10C67E20"/>
    <w:rsid w:val="13633040"/>
    <w:rsid w:val="15BF44EA"/>
    <w:rsid w:val="161875FB"/>
    <w:rsid w:val="16CD046C"/>
    <w:rsid w:val="174638EA"/>
    <w:rsid w:val="17A53F89"/>
    <w:rsid w:val="183E2BB3"/>
    <w:rsid w:val="19BC4DD9"/>
    <w:rsid w:val="1CCB6F3F"/>
    <w:rsid w:val="1D043B44"/>
    <w:rsid w:val="1DA67191"/>
    <w:rsid w:val="1F2D2FAF"/>
    <w:rsid w:val="224355CD"/>
    <w:rsid w:val="2261773E"/>
    <w:rsid w:val="231D6147"/>
    <w:rsid w:val="238E53AA"/>
    <w:rsid w:val="23F40DA4"/>
    <w:rsid w:val="2453551B"/>
    <w:rsid w:val="24D171E9"/>
    <w:rsid w:val="25313F80"/>
    <w:rsid w:val="25FC71AB"/>
    <w:rsid w:val="268272AF"/>
    <w:rsid w:val="27846795"/>
    <w:rsid w:val="281C302A"/>
    <w:rsid w:val="287D1DE0"/>
    <w:rsid w:val="2969069C"/>
    <w:rsid w:val="296E25E7"/>
    <w:rsid w:val="2A1B75CC"/>
    <w:rsid w:val="2ADC27F8"/>
    <w:rsid w:val="2AF32CD0"/>
    <w:rsid w:val="2E8353CB"/>
    <w:rsid w:val="2F095B44"/>
    <w:rsid w:val="31BB12A9"/>
    <w:rsid w:val="32186458"/>
    <w:rsid w:val="331D2EA5"/>
    <w:rsid w:val="339A10EE"/>
    <w:rsid w:val="34615F03"/>
    <w:rsid w:val="354D5AA0"/>
    <w:rsid w:val="36180457"/>
    <w:rsid w:val="38726287"/>
    <w:rsid w:val="3B573288"/>
    <w:rsid w:val="3BE63123"/>
    <w:rsid w:val="3C084171"/>
    <w:rsid w:val="3C6A3BF6"/>
    <w:rsid w:val="3D081475"/>
    <w:rsid w:val="3D4E5423"/>
    <w:rsid w:val="3D697F82"/>
    <w:rsid w:val="3E1279E1"/>
    <w:rsid w:val="3E3E51E9"/>
    <w:rsid w:val="405F70D3"/>
    <w:rsid w:val="42A47894"/>
    <w:rsid w:val="43D43463"/>
    <w:rsid w:val="44647222"/>
    <w:rsid w:val="44E00565"/>
    <w:rsid w:val="46470AD7"/>
    <w:rsid w:val="46CC7185"/>
    <w:rsid w:val="477D7D28"/>
    <w:rsid w:val="48303217"/>
    <w:rsid w:val="48A16C4B"/>
    <w:rsid w:val="48C04CFB"/>
    <w:rsid w:val="4AE01685"/>
    <w:rsid w:val="4B840262"/>
    <w:rsid w:val="4C2942CE"/>
    <w:rsid w:val="4ECD267C"/>
    <w:rsid w:val="4F320620"/>
    <w:rsid w:val="507338FE"/>
    <w:rsid w:val="50CC1544"/>
    <w:rsid w:val="51B946AC"/>
    <w:rsid w:val="531DF252"/>
    <w:rsid w:val="53437897"/>
    <w:rsid w:val="548457F1"/>
    <w:rsid w:val="549E2B1D"/>
    <w:rsid w:val="54F92F9D"/>
    <w:rsid w:val="55C10B66"/>
    <w:rsid w:val="57997930"/>
    <w:rsid w:val="58BA7399"/>
    <w:rsid w:val="5ACC2EA2"/>
    <w:rsid w:val="5AF802E6"/>
    <w:rsid w:val="5C783D85"/>
    <w:rsid w:val="5DCF58C3"/>
    <w:rsid w:val="5DFC152F"/>
    <w:rsid w:val="5E076760"/>
    <w:rsid w:val="5E086D76"/>
    <w:rsid w:val="5F834217"/>
    <w:rsid w:val="5FAD65DF"/>
    <w:rsid w:val="603848C6"/>
    <w:rsid w:val="604A3886"/>
    <w:rsid w:val="60BE7457"/>
    <w:rsid w:val="60D500EA"/>
    <w:rsid w:val="63BF4DF7"/>
    <w:rsid w:val="64E53434"/>
    <w:rsid w:val="65B732B6"/>
    <w:rsid w:val="66077681"/>
    <w:rsid w:val="68C2219B"/>
    <w:rsid w:val="690615D1"/>
    <w:rsid w:val="6A3E7F8D"/>
    <w:rsid w:val="6D5532B9"/>
    <w:rsid w:val="6D8A305E"/>
    <w:rsid w:val="6EC70D71"/>
    <w:rsid w:val="6F6733FA"/>
    <w:rsid w:val="70CB68E6"/>
    <w:rsid w:val="70E247A7"/>
    <w:rsid w:val="784328CF"/>
    <w:rsid w:val="78A7706F"/>
    <w:rsid w:val="78C63238"/>
    <w:rsid w:val="797E1221"/>
    <w:rsid w:val="797F2A3E"/>
    <w:rsid w:val="7A542E9E"/>
    <w:rsid w:val="7B5F6F74"/>
    <w:rsid w:val="7D1A2D66"/>
    <w:rsid w:val="7ED9ADFF"/>
    <w:rsid w:val="7F147D3C"/>
    <w:rsid w:val="7FA62493"/>
    <w:rsid w:val="7FD60975"/>
    <w:rsid w:val="7FDE0AA0"/>
    <w:rsid w:val="7FFF1326"/>
    <w:rsid w:val="9FBE1BBB"/>
    <w:rsid w:val="BEFAACE8"/>
    <w:rsid w:val="D2DBD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14">
    <w:name w:val="heading 1"/>
    <w:basedOn w:val="1"/>
    <w:next w:val="1"/>
    <w:link w:val="25"/>
    <w:qFormat/>
    <w:uiPriority w:val="0"/>
    <w:pPr>
      <w:keepNext/>
      <w:jc w:val="center"/>
      <w:outlineLvl w:val="0"/>
    </w:pPr>
    <w:rPr>
      <w:rFonts w:ascii="楷体_GB2312" w:eastAsia="楷体_GB2312"/>
      <w:sz w:val="28"/>
      <w:szCs w:val="28"/>
    </w:rPr>
  </w:style>
  <w:style w:type="paragraph" w:styleId="13">
    <w:name w:val="heading 3"/>
    <w:basedOn w:val="1"/>
    <w:next w:val="1"/>
    <w:unhideWhenUsed/>
    <w:qFormat/>
    <w:uiPriority w:val="0"/>
    <w:pPr>
      <w:keepNext/>
      <w:keepLines/>
      <w:spacing w:before="260" w:after="260" w:line="413" w:lineRule="auto"/>
      <w:outlineLvl w:val="2"/>
    </w:pPr>
    <w:rPr>
      <w:b/>
      <w:sz w:val="32"/>
    </w:rPr>
  </w:style>
  <w:style w:type="paragraph" w:styleId="15">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1"/>
    <w:autoRedefine/>
    <w:qFormat/>
    <w:uiPriority w:val="0"/>
    <w:pPr>
      <w:spacing w:line="318" w:lineRule="atLeast"/>
      <w:ind w:left="369" w:firstLine="369"/>
    </w:pPr>
    <w:rPr>
      <w:rFonts w:ascii="宋体"/>
    </w:rPr>
  </w:style>
  <w:style w:type="paragraph" w:customStyle="1" w:styleId="3">
    <w:name w:val="正文_1"/>
    <w:basedOn w:val="4"/>
    <w:autoRedefine/>
    <w:qFormat/>
    <w:uiPriority w:val="0"/>
    <w:rPr>
      <w:rFonts w:cs="Calibri"/>
      <w:szCs w:val="21"/>
    </w:rPr>
  </w:style>
  <w:style w:type="paragraph" w:customStyle="1" w:styleId="4">
    <w:name w:val="正文_2"/>
    <w:basedOn w:val="5"/>
    <w:next w:val="11"/>
    <w:autoRedefine/>
    <w:qFormat/>
    <w:uiPriority w:val="0"/>
  </w:style>
  <w:style w:type="paragraph" w:customStyle="1" w:styleId="5">
    <w:name w:val="正文_3"/>
    <w:next w:val="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正文文本_1"/>
    <w:basedOn w:val="7"/>
    <w:autoRedefine/>
    <w:unhideWhenUsed/>
    <w:qFormat/>
    <w:uiPriority w:val="0"/>
    <w:pPr>
      <w:spacing w:after="120"/>
    </w:pPr>
    <w:rPr>
      <w:rFonts w:eastAsia="宋体" w:cs="Times New Roman"/>
    </w:rPr>
  </w:style>
  <w:style w:type="paragraph" w:customStyle="1" w:styleId="7">
    <w:name w:val="正文_2_0"/>
    <w:basedOn w:val="8"/>
    <w:next w:val="6"/>
    <w:autoRedefine/>
    <w:qFormat/>
    <w:uiPriority w:val="0"/>
    <w:rPr>
      <w:rFonts w:ascii="Calibri" w:hAnsi="Calibri"/>
      <w:sz w:val="21"/>
      <w:lang w:eastAsia="zh-CN"/>
    </w:rPr>
  </w:style>
  <w:style w:type="paragraph" w:customStyle="1" w:styleId="8">
    <w:name w:val="正文_3_0"/>
    <w:basedOn w:val="9"/>
    <w:autoRedefine/>
    <w:qFormat/>
    <w:uiPriority w:val="0"/>
    <w:pPr>
      <w:autoSpaceDE w:val="0"/>
      <w:autoSpaceDN w:val="0"/>
    </w:pPr>
    <w:rPr>
      <w:rFonts w:ascii="仿宋" w:hAnsi="仿宋" w:eastAsia="仿宋" w:cs="仿宋"/>
      <w:sz w:val="22"/>
      <w:lang w:eastAsia="en-US"/>
    </w:rPr>
  </w:style>
  <w:style w:type="paragraph" w:customStyle="1" w:styleId="9">
    <w:name w:val="正文_4_0"/>
    <w:basedOn w:val="10"/>
    <w:autoRedefine/>
    <w:qFormat/>
    <w:uiPriority w:val="0"/>
  </w:style>
  <w:style w:type="paragraph" w:customStyle="1" w:styleId="1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styleId="11">
    <w:name w:val="No Spacing"/>
    <w:next w:val="12"/>
    <w:link w:val="26"/>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
    <w:name w:val="样式 标题 3 + (中文) 黑体 小四 非加粗 段前: 7.8 磅 段后: 0 磅 行距: 固定值 20 磅"/>
    <w:basedOn w:val="13"/>
    <w:autoRedefine/>
    <w:qFormat/>
    <w:uiPriority w:val="0"/>
    <w:pPr>
      <w:spacing w:before="0" w:after="0" w:line="400" w:lineRule="exact"/>
    </w:pPr>
    <w:rPr>
      <w:rFonts w:eastAsia="黑体" w:cs="宋体"/>
      <w:b w:val="0"/>
      <w:sz w:val="21"/>
    </w:rPr>
  </w:style>
  <w:style w:type="paragraph" w:styleId="16">
    <w:name w:val="annotation text"/>
    <w:basedOn w:val="1"/>
    <w:qFormat/>
    <w:uiPriority w:val="0"/>
    <w:pPr>
      <w:jc w:val="left"/>
    </w:pPr>
  </w:style>
  <w:style w:type="paragraph" w:styleId="17">
    <w:name w:val="Body Text"/>
    <w:basedOn w:val="1"/>
    <w:next w:val="1"/>
    <w:qFormat/>
    <w:uiPriority w:val="0"/>
    <w:pPr>
      <w:spacing w:after="120"/>
    </w:pPr>
  </w:style>
  <w:style w:type="paragraph" w:styleId="18">
    <w:name w:val="footer"/>
    <w:basedOn w:val="1"/>
    <w:link w:val="24"/>
    <w:unhideWhenUsed/>
    <w:qFormat/>
    <w:uiPriority w:val="99"/>
    <w:pPr>
      <w:tabs>
        <w:tab w:val="center" w:pos="4153"/>
        <w:tab w:val="right" w:pos="8306"/>
      </w:tabs>
      <w:snapToGrid w:val="0"/>
      <w:jc w:val="left"/>
    </w:pPr>
    <w:rPr>
      <w:sz w:val="18"/>
      <w:szCs w:val="18"/>
    </w:rPr>
  </w:style>
  <w:style w:type="paragraph" w:styleId="1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页眉 字符"/>
    <w:basedOn w:val="22"/>
    <w:link w:val="19"/>
    <w:qFormat/>
    <w:uiPriority w:val="99"/>
    <w:rPr>
      <w:sz w:val="18"/>
      <w:szCs w:val="18"/>
    </w:rPr>
  </w:style>
  <w:style w:type="character" w:customStyle="1" w:styleId="24">
    <w:name w:val="页脚 字符"/>
    <w:basedOn w:val="22"/>
    <w:link w:val="18"/>
    <w:qFormat/>
    <w:uiPriority w:val="99"/>
    <w:rPr>
      <w:sz w:val="18"/>
      <w:szCs w:val="18"/>
    </w:rPr>
  </w:style>
  <w:style w:type="character" w:customStyle="1" w:styleId="25">
    <w:name w:val="标题 1 字符"/>
    <w:basedOn w:val="22"/>
    <w:link w:val="14"/>
    <w:qFormat/>
    <w:uiPriority w:val="0"/>
    <w:rPr>
      <w:rFonts w:ascii="楷体_GB2312" w:hAnsi="Times New Roman" w:eastAsia="楷体_GB2312" w:cs="Times New Roman"/>
      <w:sz w:val="28"/>
      <w:szCs w:val="28"/>
    </w:rPr>
  </w:style>
  <w:style w:type="character" w:customStyle="1" w:styleId="26">
    <w:name w:val="无间隔 字符"/>
    <w:link w:val="11"/>
    <w:qFormat/>
    <w:uiPriority w:val="1"/>
    <w:rPr>
      <w:rFonts w:ascii="Calibri" w:hAnsi="Calibri" w:eastAsia="宋体" w:cs="Times New Roman"/>
    </w:rPr>
  </w:style>
  <w:style w:type="paragraph" w:customStyle="1" w:styleId="27">
    <w:name w:val="Table Paragraph"/>
    <w:basedOn w:val="1"/>
    <w:qFormat/>
    <w:uiPriority w:val="0"/>
    <w:rPr>
      <w:sz w:val="24"/>
    </w:rPr>
  </w:style>
  <w:style w:type="paragraph" w:styleId="28">
    <w:name w:val="List Paragraph"/>
    <w:basedOn w:val="1"/>
    <w:link w:val="29"/>
    <w:qFormat/>
    <w:uiPriority w:val="99"/>
    <w:pPr>
      <w:ind w:firstLine="420" w:firstLineChars="200"/>
    </w:pPr>
  </w:style>
  <w:style w:type="character" w:customStyle="1" w:styleId="29">
    <w:name w:val="列表段落 字符"/>
    <w:link w:val="28"/>
    <w:autoRedefine/>
    <w:qFormat/>
    <w:uiPriority w:val="99"/>
    <w:rPr>
      <w:kern w:val="2"/>
      <w:sz w:val="21"/>
    </w:rPr>
  </w:style>
  <w:style w:type="character" w:customStyle="1" w:styleId="30">
    <w:name w:val="标题 4 字符"/>
    <w:basedOn w:val="22"/>
    <w:link w:val="15"/>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0FE38A-C86C-44CD-BC39-DC7AFE9B9288}">
  <ds:schemaRefs/>
</ds:datastoreItem>
</file>

<file path=docProps/app.xml><?xml version="1.0" encoding="utf-8"?>
<Properties xmlns="http://schemas.openxmlformats.org/officeDocument/2006/extended-properties" xmlns:vt="http://schemas.openxmlformats.org/officeDocument/2006/docPropsVTypes">
  <Template>Normal</Template>
  <Pages>5</Pages>
  <Words>3759</Words>
  <Characters>4076</Characters>
  <Lines>30</Lines>
  <Paragraphs>8</Paragraphs>
  <TotalTime>76</TotalTime>
  <ScaleCrop>false</ScaleCrop>
  <LinksUpToDate>false</LinksUpToDate>
  <CharactersWithSpaces>4132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2021-02-23T23:37:00Z</dcterms:created>
  <dc:creator>jbyy</dc:creator>
  <cp:lastModifiedBy>Estrella</cp:lastModifiedBy>
  <cp:lastPrinted>2025-07-09T02:34:00Z</cp:lastPrinted>
  <dcterms:modified xsi:type="dcterms:W3CDTF">2025-07-23T01:20:10Z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15AAE4855A3A4012922C4427C66BDEEC_12</vt:lpwstr>
  </property>
  <property fmtid="{D5CDD505-2E9C-101B-9397-08002B2CF9AE}" pid="4" name="KSOTemplateDocerSaveRecord">
    <vt:lpwstr>eyJoZGlkIjoiZTYzNzg2NGViYzU0MjFhYmZkZTA4NDA0ZWI2YWUxNjYiLCJ1c2VySWQiOiIxMTMxOTM5OTUwIn0=</vt:lpwstr>
  </property>
</Properties>
</file>