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6925C">
      <w:pPr>
        <w:jc w:val="center"/>
        <w:rPr>
          <w:rFonts w:hint="default" w:ascii="仿宋" w:hAnsi="仿宋" w:eastAsia="仿宋" w:cs="仿宋"/>
          <w:b/>
          <w:bCs/>
          <w:sz w:val="44"/>
          <w:szCs w:val="44"/>
          <w:lang w:val="en-US" w:eastAsia="zh-CN"/>
        </w:rPr>
      </w:pPr>
      <w:bookmarkStart w:id="0" w:name="OLE_LINK1"/>
      <w:r>
        <w:rPr>
          <w:rFonts w:hint="eastAsia" w:ascii="仿宋" w:hAnsi="仿宋" w:eastAsia="仿宋" w:cs="仿宋"/>
          <w:b/>
          <w:bCs/>
          <w:sz w:val="44"/>
          <w:szCs w:val="44"/>
          <w:lang w:val="en-US" w:eastAsia="zh-CN"/>
        </w:rPr>
        <w:t>院区微型消防站新标必配器材采购</w:t>
      </w:r>
    </w:p>
    <w:p w14:paraId="5442FABA">
      <w:pPr>
        <w:jc w:val="center"/>
        <w:rPr>
          <w:rFonts w:hint="eastAsia" w:ascii="仿宋" w:hAnsi="仿宋" w:eastAsia="仿宋" w:cs="仿宋"/>
          <w:b/>
          <w:bCs/>
          <w:sz w:val="44"/>
          <w:szCs w:val="44"/>
        </w:rPr>
      </w:pPr>
      <w:r>
        <w:rPr>
          <w:rFonts w:hint="eastAsia" w:ascii="仿宋" w:hAnsi="仿宋" w:eastAsia="仿宋" w:cs="仿宋"/>
          <w:b/>
          <w:bCs/>
          <w:sz w:val="44"/>
          <w:szCs w:val="44"/>
        </w:rPr>
        <w:t>项目</w:t>
      </w:r>
      <w:bookmarkEnd w:id="0"/>
      <w:r>
        <w:rPr>
          <w:rFonts w:hint="eastAsia" w:ascii="仿宋" w:hAnsi="仿宋" w:eastAsia="仿宋" w:cs="仿宋"/>
          <w:b/>
          <w:bCs/>
          <w:sz w:val="44"/>
          <w:szCs w:val="44"/>
        </w:rPr>
        <w:t>比价方案</w:t>
      </w:r>
    </w:p>
    <w:p w14:paraId="3B8200C2">
      <w:pPr>
        <w:spacing w:line="48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bookmarkStart w:id="1" w:name="OLE_LINK6"/>
      <w:r>
        <w:rPr>
          <w:rFonts w:hint="eastAsia" w:ascii="仿宋" w:hAnsi="仿宋" w:eastAsia="仿宋"/>
          <w:color w:val="000000" w:themeColor="text1"/>
          <w:sz w:val="30"/>
          <w:szCs w:val="30"/>
          <w:lang w:val="en-US" w:eastAsia="zh-CN"/>
          <w14:textFill>
            <w14:solidFill>
              <w14:schemeClr w14:val="tx1"/>
            </w14:solidFill>
          </w14:textFill>
        </w:rPr>
        <w:t>院区微型消防站新标必配器材采购项目比价方案</w:t>
      </w:r>
      <w:r>
        <w:rPr>
          <w:rFonts w:hint="eastAsia" w:ascii="仿宋" w:hAnsi="仿宋" w:eastAsia="仿宋"/>
          <w:color w:val="000000" w:themeColor="text1"/>
          <w:sz w:val="30"/>
          <w:szCs w:val="30"/>
          <w14:textFill>
            <w14:solidFill>
              <w14:schemeClr w14:val="tx1"/>
            </w14:solidFill>
          </w14:textFill>
        </w:rPr>
        <w:t>具体要求如下</w:t>
      </w:r>
      <w:r>
        <w:rPr>
          <w:rFonts w:ascii="仿宋" w:hAnsi="仿宋" w:eastAsia="仿宋"/>
          <w:color w:val="000000" w:themeColor="text1"/>
          <w:sz w:val="30"/>
          <w:szCs w:val="30"/>
          <w14:textFill>
            <w14:solidFill>
              <w14:schemeClr w14:val="tx1"/>
            </w14:solidFill>
          </w14:textFill>
        </w:rPr>
        <w:t>：</w:t>
      </w:r>
      <w:bookmarkEnd w:id="1"/>
    </w:p>
    <w:p w14:paraId="688F2FB3">
      <w:pPr>
        <w:spacing w:line="480" w:lineRule="exact"/>
        <w:jc w:val="center"/>
        <w:rPr>
          <w:rFonts w:hint="eastAsia" w:ascii="仿宋" w:hAnsi="仿宋" w:eastAsia="仿宋"/>
          <w:color w:val="000000" w:themeColor="text1"/>
          <w:sz w:val="30"/>
          <w:szCs w:val="30"/>
          <w14:textFill>
            <w14:solidFill>
              <w14:schemeClr w14:val="tx1"/>
            </w14:solidFill>
          </w14:textFill>
        </w:rPr>
      </w:pPr>
    </w:p>
    <w:p w14:paraId="342780C7">
      <w:pPr>
        <w:ind w:firstLine="600"/>
        <w:rPr>
          <w:rFonts w:hint="eastAsia" w:ascii="仿宋" w:hAnsi="仿宋" w:eastAsia="仿宋"/>
          <w:b/>
          <w:bCs/>
          <w:sz w:val="30"/>
          <w:szCs w:val="30"/>
        </w:rPr>
      </w:pPr>
      <w:r>
        <w:rPr>
          <w:rFonts w:hint="eastAsia" w:ascii="仿宋" w:hAnsi="仿宋" w:eastAsia="仿宋"/>
          <w:b/>
          <w:bCs/>
          <w:sz w:val="30"/>
          <w:szCs w:val="30"/>
        </w:rPr>
        <w:t>一、项目概况及要求：</w:t>
      </w:r>
    </w:p>
    <w:p w14:paraId="2C738413">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投标</w:t>
      </w:r>
      <w:r>
        <w:rPr>
          <w:rFonts w:hint="eastAsia" w:ascii="仿宋" w:hAnsi="仿宋" w:eastAsia="仿宋"/>
          <w:sz w:val="30"/>
          <w:szCs w:val="30"/>
        </w:rPr>
        <w:t>供应商需</w:t>
      </w:r>
      <w:r>
        <w:rPr>
          <w:rFonts w:hint="eastAsia" w:ascii="仿宋" w:hAnsi="仿宋" w:eastAsia="仿宋"/>
          <w:sz w:val="30"/>
          <w:szCs w:val="30"/>
          <w:lang w:val="en-US" w:eastAsia="zh-CN"/>
        </w:rPr>
        <w:t>提供相关产品的合格证书。</w:t>
      </w:r>
    </w:p>
    <w:p w14:paraId="7CF31C43">
      <w:pPr>
        <w:spacing w:line="460" w:lineRule="exact"/>
        <w:ind w:firstLine="600"/>
        <w:rPr>
          <w:rFonts w:hint="eastAsia" w:ascii="仿宋" w:hAnsi="仿宋" w:eastAsia="仿宋"/>
          <w:sz w:val="30"/>
          <w:szCs w:val="30"/>
        </w:rPr>
      </w:pPr>
      <w:r>
        <w:rPr>
          <w:rFonts w:hint="eastAsia" w:ascii="仿宋" w:hAnsi="仿宋" w:eastAsia="仿宋"/>
          <w:sz w:val="30"/>
          <w:szCs w:val="30"/>
        </w:rPr>
        <w:t>2.现场自行勘察或与联系人（蒋老师13775350888）联系勘察现场。</w:t>
      </w:r>
    </w:p>
    <w:p w14:paraId="18AE26DB">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3.施工方案由施工单位自拟，确保维修质量和施工安全。</w:t>
      </w:r>
    </w:p>
    <w:p w14:paraId="44616D13">
      <w:pPr>
        <w:adjustRightIn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cs="宋体"/>
          <w:sz w:val="30"/>
          <w:szCs w:val="30"/>
        </w:rPr>
        <w:t>按行业规程要求，服从院方安排，质保期为2年。（以验收之日起计）</w:t>
      </w:r>
      <w:r>
        <w:rPr>
          <w:rFonts w:hint="eastAsia" w:ascii="仿宋" w:hAnsi="仿宋" w:eastAsia="仿宋"/>
          <w:sz w:val="30"/>
          <w:szCs w:val="30"/>
        </w:rPr>
        <w:t>。</w:t>
      </w:r>
    </w:p>
    <w:p w14:paraId="389E9485">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5.接到中标通知后，工期5天完成</w:t>
      </w:r>
      <w:r>
        <w:rPr>
          <w:rFonts w:hint="eastAsia" w:ascii="仿宋" w:hAnsi="仿宋" w:eastAsia="仿宋"/>
          <w:sz w:val="30"/>
          <w:szCs w:val="30"/>
        </w:rPr>
        <w:t>更换</w:t>
      </w:r>
      <w:r>
        <w:rPr>
          <w:rFonts w:hint="eastAsia" w:ascii="仿宋" w:hAnsi="仿宋" w:eastAsia="仿宋" w:cs="宋体"/>
          <w:sz w:val="30"/>
          <w:szCs w:val="30"/>
        </w:rPr>
        <w:t>。</w:t>
      </w:r>
    </w:p>
    <w:p w14:paraId="379AA697">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6.期间安全责任由中标单位自行负责,发生任何安全事故与招标单位无关。</w:t>
      </w:r>
    </w:p>
    <w:p w14:paraId="6EA0EC09">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7.如需登高作业，须提供施工人员在有效期内的登高作业证和身份证复印件。</w:t>
      </w:r>
    </w:p>
    <w:p w14:paraId="0393A802">
      <w:pPr>
        <w:adjustRightInd w:val="0"/>
        <w:spacing w:line="520" w:lineRule="exact"/>
        <w:ind w:firstLine="600" w:firstLineChars="200"/>
        <w:rPr>
          <w:rFonts w:hint="eastAsia" w:ascii="仿宋" w:hAnsi="仿宋" w:eastAsia="仿宋" w:cs="宋体"/>
          <w:sz w:val="30"/>
          <w:szCs w:val="30"/>
        </w:rPr>
      </w:pPr>
      <w:r>
        <w:rPr>
          <w:rFonts w:hint="eastAsia" w:ascii="仿宋" w:hAnsi="仿宋" w:eastAsia="仿宋" w:cs="宋体"/>
          <w:sz w:val="30"/>
          <w:szCs w:val="30"/>
        </w:rPr>
        <w:t>8.验收标准：按行业规程验收。</w:t>
      </w:r>
    </w:p>
    <w:p w14:paraId="1135062B">
      <w:pPr>
        <w:adjustRightInd w:val="0"/>
        <w:spacing w:line="520" w:lineRule="exact"/>
        <w:ind w:firstLine="600" w:firstLineChars="200"/>
        <w:jc w:val="left"/>
        <w:rPr>
          <w:rFonts w:hint="eastAsia" w:ascii="仿宋" w:hAnsi="仿宋" w:eastAsia="仿宋" w:cs="宋体"/>
          <w:sz w:val="30"/>
          <w:szCs w:val="30"/>
        </w:rPr>
      </w:pPr>
      <w:r>
        <w:rPr>
          <w:rFonts w:hint="eastAsia" w:ascii="仿宋" w:hAnsi="仿宋" w:eastAsia="仿宋" w:cs="宋体"/>
          <w:sz w:val="30"/>
          <w:szCs w:val="30"/>
        </w:rPr>
        <w:t>9.费用结算：经验收合格，三个月后一次性结算。</w:t>
      </w:r>
    </w:p>
    <w:p w14:paraId="11F53C8B">
      <w:pPr>
        <w:spacing w:line="480" w:lineRule="exact"/>
        <w:ind w:firstLine="602"/>
        <w:jc w:val="left"/>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z w:val="30"/>
          <w:szCs w:val="30"/>
        </w:rPr>
        <w:t>二</w:t>
      </w:r>
      <w:r>
        <w:rPr>
          <w:rFonts w:ascii="仿宋" w:hAnsi="仿宋" w:eastAsia="仿宋"/>
          <w:b/>
          <w:sz w:val="30"/>
          <w:szCs w:val="30"/>
        </w:rPr>
        <w:t>、</w:t>
      </w:r>
      <w:r>
        <w:rPr>
          <w:rFonts w:hint="eastAsia" w:ascii="仿宋" w:hAnsi="仿宋" w:eastAsia="仿宋"/>
          <w:b/>
          <w:color w:val="000000" w:themeColor="text1"/>
          <w:sz w:val="30"/>
          <w:szCs w:val="30"/>
          <w14:textFill>
            <w14:solidFill>
              <w14:schemeClr w14:val="tx1"/>
            </w14:solidFill>
          </w14:textFill>
        </w:rPr>
        <w:t>比价方案：</w:t>
      </w:r>
    </w:p>
    <w:p w14:paraId="187FC50E">
      <w:pPr>
        <w:adjustRightInd w:val="0"/>
        <w:spacing w:line="440" w:lineRule="exact"/>
        <w:ind w:firstLine="600" w:firstLineChars="200"/>
        <w:jc w:val="left"/>
        <w:rPr>
          <w:rFonts w:hint="eastAsia" w:ascii="仿宋" w:hAnsi="仿宋" w:eastAsia="仿宋" w:cs="宋体"/>
          <w:sz w:val="30"/>
          <w:szCs w:val="30"/>
        </w:rPr>
      </w:pPr>
      <w:r>
        <w:rPr>
          <w:rFonts w:ascii="仿宋" w:hAnsi="仿宋" w:eastAsia="仿宋" w:cs="宋体"/>
          <w:sz w:val="30"/>
          <w:szCs w:val="30"/>
        </w:rPr>
        <w:t>采用现场比价排序方式，</w:t>
      </w:r>
      <w:r>
        <w:rPr>
          <w:rFonts w:hint="eastAsia" w:ascii="仿宋" w:hAnsi="仿宋" w:eastAsia="仿宋" w:cs="宋体"/>
          <w:sz w:val="30"/>
          <w:szCs w:val="30"/>
        </w:rPr>
        <w:t>一轮报价，</w:t>
      </w:r>
      <w:r>
        <w:rPr>
          <w:rFonts w:ascii="仿宋" w:hAnsi="仿宋" w:eastAsia="仿宋" w:cs="宋体"/>
          <w:sz w:val="30"/>
          <w:szCs w:val="30"/>
        </w:rPr>
        <w:t>各报价单位须提准备好营业执照、品牌授权（如有需提供）、项目报价（一次性报价），</w:t>
      </w:r>
      <w:r>
        <w:rPr>
          <w:rFonts w:ascii="仿宋" w:hAnsi="仿宋" w:eastAsia="仿宋" w:cs="仿宋"/>
          <w:sz w:val="30"/>
          <w:szCs w:val="30"/>
        </w:rPr>
        <w:t>如投标人</w:t>
      </w:r>
      <w:r>
        <w:rPr>
          <w:rFonts w:hint="eastAsia" w:ascii="仿宋" w:hAnsi="仿宋" w:eastAsia="仿宋" w:cs="仿宋"/>
          <w:sz w:val="30"/>
          <w:szCs w:val="30"/>
        </w:rPr>
        <w:t>不是</w:t>
      </w:r>
      <w:r>
        <w:rPr>
          <w:rFonts w:ascii="仿宋" w:hAnsi="仿宋" w:eastAsia="仿宋" w:cs="仿宋"/>
          <w:sz w:val="30"/>
          <w:szCs w:val="30"/>
        </w:rPr>
        <w:t>公司法人需提供授权委托书和投标代理人身份证复印件（授权委托书和身份证复印件均需加盖公章）</w:t>
      </w:r>
      <w:r>
        <w:rPr>
          <w:rFonts w:ascii="仿宋" w:hAnsi="仿宋" w:eastAsia="仿宋" w:cs="宋体"/>
          <w:sz w:val="30"/>
          <w:szCs w:val="30"/>
        </w:rPr>
        <w:t>用文件袋密封包装</w:t>
      </w:r>
      <w:r>
        <w:rPr>
          <w:rFonts w:hint="eastAsia" w:ascii="仿宋" w:hAnsi="仿宋" w:eastAsia="仿宋" w:cs="宋体"/>
          <w:sz w:val="30"/>
          <w:szCs w:val="30"/>
        </w:rPr>
        <w:t>送至</w:t>
      </w:r>
      <w:r>
        <w:rPr>
          <w:rFonts w:ascii="仿宋" w:hAnsi="仿宋" w:eastAsia="仿宋" w:cs="宋体"/>
          <w:sz w:val="30"/>
          <w:szCs w:val="30"/>
        </w:rPr>
        <w:t>指定地点</w:t>
      </w:r>
      <w:r>
        <w:rPr>
          <w:rFonts w:hint="eastAsia" w:ascii="仿宋" w:hAnsi="仿宋" w:eastAsia="仿宋" w:cs="宋体"/>
          <w:sz w:val="30"/>
          <w:szCs w:val="30"/>
        </w:rPr>
        <w:t>。</w:t>
      </w:r>
    </w:p>
    <w:p w14:paraId="064B96A3">
      <w:pPr>
        <w:spacing w:line="480" w:lineRule="exact"/>
        <w:ind w:firstLine="602"/>
        <w:jc w:val="left"/>
        <w:rPr>
          <w:rFonts w:hint="eastAsia" w:ascii="仿宋" w:hAnsi="仿宋" w:eastAsia="仿宋" w:cs="宋体"/>
          <w:b/>
          <w:color w:val="000000" w:themeColor="text1"/>
          <w:sz w:val="30"/>
          <w:szCs w:val="30"/>
          <w14:textFill>
            <w14:solidFill>
              <w14:schemeClr w14:val="tx1"/>
            </w14:solidFill>
          </w14:textFill>
        </w:rPr>
      </w:pPr>
      <w:r>
        <w:rPr>
          <w:rFonts w:hint="eastAsia" w:ascii="仿宋" w:hAnsi="仿宋" w:eastAsia="仿宋" w:cs="宋体"/>
          <w:b/>
          <w:color w:val="000000" w:themeColor="text1"/>
          <w:sz w:val="30"/>
          <w:szCs w:val="30"/>
          <w14:textFill>
            <w14:solidFill>
              <w14:schemeClr w14:val="tx1"/>
            </w14:solidFill>
          </w14:textFill>
        </w:rPr>
        <w:t>三、投标人资质要求：</w:t>
      </w:r>
    </w:p>
    <w:p w14:paraId="35F03B54">
      <w:pPr>
        <w:pStyle w:val="4"/>
        <w:shd w:val="clear" w:color="auto" w:fill="FFFFFF"/>
        <w:adjustRightInd w:val="0"/>
        <w:snapToGrid w:val="0"/>
        <w:spacing w:before="0" w:beforeAutospacing="0" w:after="0" w:afterAutospacing="0" w:line="360" w:lineRule="auto"/>
        <w:ind w:left="0" w:firstLine="600" w:firstLineChars="2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1.持有效的营业执照并有消防器材经营项目</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如投标人不是公司法人需提供授权委托书和投标代理人身份证复印件（授权委托书和身份证复印件均需加盖公章）。</w:t>
      </w:r>
    </w:p>
    <w:p w14:paraId="1CBD3AA0">
      <w:pPr>
        <w:pStyle w:val="4"/>
        <w:shd w:val="clear" w:color="auto" w:fill="FFFFFF"/>
        <w:adjustRightInd w:val="0"/>
        <w:snapToGrid w:val="0"/>
        <w:spacing w:before="0" w:beforeAutospacing="0" w:after="0" w:afterAutospacing="0" w:line="520" w:lineRule="exact"/>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.法律、行政法规规定的其他条件。</w:t>
      </w:r>
    </w:p>
    <w:p w14:paraId="6371B873">
      <w:pPr>
        <w:pStyle w:val="4"/>
        <w:shd w:val="clear" w:color="auto" w:fill="FFFFFF"/>
        <w:adjustRightInd w:val="0"/>
        <w:snapToGrid w:val="0"/>
        <w:spacing w:before="0" w:beforeAutospacing="0" w:after="0" w:afterAutospacing="0" w:line="520" w:lineRule="exact"/>
        <w:ind w:left="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.本项目不接受联合体投标，不得转包、分包。</w:t>
      </w:r>
    </w:p>
    <w:p w14:paraId="266468FB">
      <w:pPr>
        <w:adjustRightInd w:val="0"/>
        <w:spacing w:line="520" w:lineRule="exact"/>
        <w:ind w:firstLine="600" w:firstLineChars="200"/>
        <w:jc w:val="left"/>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、因消防设施的特殊性，</w:t>
      </w:r>
      <w:r>
        <w:rPr>
          <w:rFonts w:hint="eastAsia" w:ascii="仿宋" w:hAnsi="仿宋" w:eastAsia="仿宋" w:cs="宋体"/>
          <w:sz w:val="30"/>
          <w:szCs w:val="30"/>
        </w:rPr>
        <w:t>质保期内出现故障，在规定时间1小时内到达现场维修或更换，并在3小时内消除故障，并且中标方上门维修服务无次数限制。因产品或安装质量问题造成的消防安全隐患及相关损失（消防部门检查存在问题），由中标单位负全部责任（提供承诺书并加盖公章）。</w:t>
      </w:r>
    </w:p>
    <w:p w14:paraId="23842D30">
      <w:pPr>
        <w:pStyle w:val="4"/>
        <w:shd w:val="clear" w:color="auto" w:fill="FFFFFF"/>
        <w:adjustRightInd w:val="0"/>
        <w:snapToGrid w:val="0"/>
        <w:spacing w:before="0" w:beforeAutospacing="0" w:after="0" w:afterAutospacing="0" w:line="520" w:lineRule="exact"/>
        <w:ind w:left="0" w:firstLine="602"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四、资格审查方式及特殊情况说明：</w:t>
      </w:r>
    </w:p>
    <w:p w14:paraId="50300EF2">
      <w:pPr>
        <w:adjustRightInd w:val="0"/>
        <w:spacing w:line="52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本次采用资格后审方式。</w:t>
      </w:r>
    </w:p>
    <w:p w14:paraId="27AD4930">
      <w:pPr>
        <w:pStyle w:val="4"/>
        <w:shd w:val="clear" w:color="auto" w:fill="FFFFFF"/>
        <w:adjustRightInd w:val="0"/>
        <w:spacing w:before="0" w:beforeAutospacing="0" w:after="0" w:afterAutospacing="0" w:line="520" w:lineRule="exact"/>
        <w:ind w:left="0" w:firstLine="600" w:firstLineChars="200"/>
        <w:jc w:val="both"/>
        <w:rPr>
          <w:rFonts w:hint="eastAsia"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04DAD63D">
      <w:pPr>
        <w:pStyle w:val="4"/>
        <w:shd w:val="clear" w:color="auto" w:fill="FFFFFF"/>
        <w:adjustRightInd w:val="0"/>
        <w:spacing w:before="0" w:beforeAutospacing="0" w:after="0" w:afterAutospacing="0" w:line="520" w:lineRule="exact"/>
        <w:ind w:left="0" w:firstLine="600" w:firstLineChars="200"/>
        <w:jc w:val="both"/>
        <w:rPr>
          <w:rFonts w:hint="eastAsia" w:ascii="仿宋" w:hAnsi="仿宋" w:eastAsia="仿宋"/>
          <w:sz w:val="30"/>
          <w:szCs w:val="30"/>
        </w:rPr>
      </w:pPr>
      <w:r>
        <w:rPr>
          <w:rFonts w:hint="eastAsia" w:ascii="仿宋" w:hAnsi="仿宋" w:eastAsia="仿宋"/>
          <w:sz w:val="30"/>
          <w:szCs w:val="30"/>
        </w:rPr>
        <w:t>2.满足比价文件实质性要求的单位数量仅有2家的，则现场转变采购方式，采用竞争性谈判的采购方式，确定中标单位；</w:t>
      </w:r>
    </w:p>
    <w:p w14:paraId="66C58364">
      <w:pPr>
        <w:spacing w:line="480" w:lineRule="exact"/>
        <w:ind w:firstLine="602"/>
        <w:jc w:val="left"/>
        <w:rPr>
          <w:rFonts w:hint="eastAsia" w:ascii="仿宋" w:hAnsi="仿宋" w:eastAsia="仿宋"/>
          <w:sz w:val="30"/>
          <w:szCs w:val="30"/>
        </w:rPr>
      </w:pPr>
      <w:r>
        <w:rPr>
          <w:rFonts w:hint="eastAsia" w:ascii="仿宋" w:hAnsi="仿宋" w:eastAsia="仿宋"/>
          <w:sz w:val="30"/>
          <w:szCs w:val="30"/>
        </w:rPr>
        <w:t>3.满足比价文件实质性要求的单位数量仅有1家的，则现场转变采购方式，采用单一来源谈判的采购方式，确定中标单位。</w:t>
      </w:r>
    </w:p>
    <w:p w14:paraId="66B1FD06">
      <w:pPr>
        <w:spacing w:line="480" w:lineRule="exact"/>
        <w:ind w:firstLine="602"/>
        <w:jc w:val="left"/>
        <w:rPr>
          <w:rFonts w:hint="eastAsia" w:ascii="仿宋" w:hAnsi="仿宋" w:eastAsia="仿宋" w:cs="仿宋"/>
          <w:sz w:val="30"/>
          <w:szCs w:val="30"/>
        </w:rPr>
      </w:pPr>
      <w:r>
        <w:rPr>
          <w:rFonts w:hint="eastAsia" w:ascii="仿宋" w:hAnsi="仿宋" w:eastAsia="仿宋" w:cs="仿宋"/>
          <w:b/>
          <w:color w:val="000000" w:themeColor="text1"/>
          <w:sz w:val="30"/>
          <w:szCs w:val="30"/>
          <w14:textFill>
            <w14:solidFill>
              <w14:schemeClr w14:val="tx1"/>
            </w14:solidFill>
          </w14:textFill>
        </w:rPr>
        <w:t>五</w:t>
      </w:r>
      <w:bookmarkStart w:id="2" w:name="OLE_LINK7"/>
      <w:r>
        <w:rPr>
          <w:rFonts w:hint="eastAsia" w:ascii="仿宋" w:hAnsi="仿宋" w:eastAsia="仿宋" w:cs="仿宋"/>
          <w:b/>
          <w:color w:val="000000" w:themeColor="text1"/>
          <w:sz w:val="30"/>
          <w:szCs w:val="30"/>
          <w14:textFill>
            <w14:solidFill>
              <w14:schemeClr w14:val="tx1"/>
            </w14:solidFill>
          </w14:textFill>
        </w:rPr>
        <w:t>、项目控制价为</w:t>
      </w:r>
      <w:r>
        <w:rPr>
          <w:rFonts w:hint="eastAsia" w:ascii="仿宋" w:hAnsi="仿宋" w:eastAsia="仿宋" w:cs="仿宋"/>
          <w:b/>
          <w:color w:val="000000" w:themeColor="text1"/>
          <w:sz w:val="30"/>
          <w:szCs w:val="30"/>
          <w:lang w:val="en-US" w:eastAsia="zh-CN"/>
          <w14:textFill>
            <w14:solidFill>
              <w14:schemeClr w14:val="tx1"/>
            </w14:solidFill>
          </w14:textFill>
        </w:rPr>
        <w:t>140</w:t>
      </w:r>
      <w:r>
        <w:rPr>
          <w:rFonts w:hint="eastAsia" w:ascii="仿宋" w:hAnsi="仿宋" w:eastAsia="仿宋" w:cs="仿宋"/>
          <w:b/>
          <w:color w:val="000000" w:themeColor="text1"/>
          <w:sz w:val="30"/>
          <w:szCs w:val="30"/>
          <w14:textFill>
            <w14:solidFill>
              <w14:schemeClr w14:val="tx1"/>
            </w14:solidFill>
          </w14:textFill>
        </w:rPr>
        <w:t>00元，报价不得高于控制价</w:t>
      </w:r>
      <w:bookmarkEnd w:id="2"/>
      <w:r>
        <w:rPr>
          <w:rFonts w:hint="eastAsia" w:ascii="仿宋" w:hAnsi="仿宋" w:eastAsia="仿宋" w:cs="仿宋"/>
          <w:b/>
          <w:color w:val="000000" w:themeColor="text1"/>
          <w:sz w:val="30"/>
          <w:szCs w:val="30"/>
          <w14:textFill>
            <w14:solidFill>
              <w14:schemeClr w14:val="tx1"/>
            </w14:solidFill>
          </w14:textFill>
        </w:rPr>
        <w:t>。</w:t>
      </w:r>
    </w:p>
    <w:p w14:paraId="7E182E60">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526B5167">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34F46209">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3D8DFD5C">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7D5075DA">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56652088">
      <w:pPr>
        <w:spacing w:line="480" w:lineRule="exact"/>
        <w:jc w:val="left"/>
        <w:rPr>
          <w:rFonts w:hint="eastAsia" w:ascii="仿宋" w:hAnsi="仿宋" w:eastAsia="仿宋" w:cs="仿宋"/>
          <w:color w:val="000000" w:themeColor="text1"/>
          <w:sz w:val="30"/>
          <w:szCs w:val="30"/>
          <w14:textFill>
            <w14:solidFill>
              <w14:schemeClr w14:val="tx1"/>
            </w14:solidFill>
          </w14:textFill>
        </w:rPr>
      </w:pPr>
    </w:p>
    <w:p w14:paraId="06F2B9F6">
      <w:pPr>
        <w:spacing w:line="480" w:lineRule="exact"/>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附：报价清单</w:t>
      </w:r>
    </w:p>
    <w:tbl>
      <w:tblPr>
        <w:tblStyle w:val="5"/>
        <w:tblpPr w:leftFromText="180" w:rightFromText="180" w:vertAnchor="text" w:horzAnchor="page" w:tblpX="1394" w:tblpY="159"/>
        <w:tblW w:w="9796" w:type="dxa"/>
        <w:tblInd w:w="0" w:type="dxa"/>
        <w:tblLayout w:type="autofit"/>
        <w:tblCellMar>
          <w:top w:w="0" w:type="dxa"/>
          <w:left w:w="108" w:type="dxa"/>
          <w:bottom w:w="0" w:type="dxa"/>
          <w:right w:w="108" w:type="dxa"/>
        </w:tblCellMar>
      </w:tblPr>
      <w:tblGrid>
        <w:gridCol w:w="855"/>
        <w:gridCol w:w="1941"/>
        <w:gridCol w:w="1560"/>
        <w:gridCol w:w="680"/>
        <w:gridCol w:w="760"/>
        <w:gridCol w:w="1340"/>
        <w:gridCol w:w="1320"/>
        <w:gridCol w:w="1340"/>
      </w:tblGrid>
      <w:tr w14:paraId="6AEE24F4">
        <w:tblPrEx>
          <w:tblCellMar>
            <w:top w:w="0" w:type="dxa"/>
            <w:left w:w="108" w:type="dxa"/>
            <w:bottom w:w="0" w:type="dxa"/>
            <w:right w:w="108" w:type="dxa"/>
          </w:tblCellMar>
        </w:tblPrEx>
        <w:trPr>
          <w:trHeight w:val="896" w:hRule="atLeast"/>
        </w:trPr>
        <w:tc>
          <w:tcPr>
            <w:tcW w:w="9796" w:type="dxa"/>
            <w:gridSpan w:val="8"/>
            <w:tcBorders>
              <w:top w:val="nil"/>
              <w:left w:val="nil"/>
              <w:bottom w:val="nil"/>
              <w:right w:val="nil"/>
            </w:tcBorders>
            <w:shd w:val="clear" w:color="auto" w:fill="auto"/>
            <w:vAlign w:val="center"/>
          </w:tcPr>
          <w:p w14:paraId="33AB656D">
            <w:pPr>
              <w:widowControl/>
              <w:jc w:val="center"/>
              <w:rPr>
                <w:rFonts w:hint="eastAsia" w:ascii="仿宋" w:hAnsi="仿宋" w:eastAsia="仿宋" w:cs="仿宋"/>
                <w:color w:val="000000"/>
                <w:szCs w:val="21"/>
              </w:rPr>
            </w:pPr>
            <w:r>
              <w:rPr>
                <w:rFonts w:hint="eastAsia" w:ascii="仿宋" w:hAnsi="仿宋" w:eastAsia="仿宋" w:cs="仿宋"/>
                <w:color w:val="000000"/>
                <w:szCs w:val="21"/>
              </w:rPr>
              <w:br w:type="textWrapping"/>
            </w:r>
            <w:r>
              <w:rPr>
                <w:rFonts w:hint="eastAsia" w:ascii="仿宋" w:hAnsi="仿宋" w:eastAsia="仿宋"/>
                <w:color w:val="000000" w:themeColor="text1"/>
                <w:sz w:val="30"/>
                <w:szCs w:val="30"/>
                <w:lang w:val="en-US" w:eastAsia="zh-CN"/>
                <w14:textFill>
                  <w14:solidFill>
                    <w14:schemeClr w14:val="tx1"/>
                  </w14:solidFill>
                </w14:textFill>
              </w:rPr>
              <w:t>院区微型消防站新标必配器材采购</w:t>
            </w:r>
            <w:r>
              <w:rPr>
                <w:rFonts w:hint="eastAsia" w:ascii="仿宋" w:hAnsi="仿宋" w:eastAsia="仿宋" w:cs="仿宋"/>
                <w:color w:val="000000" w:themeColor="text1"/>
                <w:sz w:val="28"/>
                <w:szCs w:val="28"/>
                <w14:textFill>
                  <w14:solidFill>
                    <w14:schemeClr w14:val="tx1"/>
                  </w14:solidFill>
                </w14:textFill>
              </w:rPr>
              <w:t>项目报价清单</w:t>
            </w:r>
          </w:p>
        </w:tc>
      </w:tr>
      <w:tr w14:paraId="00DA4E23">
        <w:tblPrEx>
          <w:tblCellMar>
            <w:top w:w="0" w:type="dxa"/>
            <w:left w:w="108" w:type="dxa"/>
            <w:bottom w:w="0" w:type="dxa"/>
            <w:right w:w="108" w:type="dxa"/>
          </w:tblCellMar>
        </w:tblPrEx>
        <w:trPr>
          <w:trHeight w:val="424"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03BB92A">
            <w:pPr>
              <w:widowControl/>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941" w:type="dxa"/>
            <w:tcBorders>
              <w:top w:val="single" w:color="auto" w:sz="4" w:space="0"/>
              <w:left w:val="nil"/>
              <w:bottom w:val="single" w:color="auto" w:sz="4" w:space="0"/>
              <w:right w:val="single" w:color="auto" w:sz="4" w:space="0"/>
            </w:tcBorders>
            <w:shd w:val="clear" w:color="auto" w:fill="auto"/>
            <w:vAlign w:val="center"/>
          </w:tcPr>
          <w:p w14:paraId="2540AA56">
            <w:pPr>
              <w:widowControl/>
              <w:jc w:val="center"/>
              <w:rPr>
                <w:rFonts w:hint="eastAsia" w:ascii="仿宋" w:hAnsi="仿宋" w:eastAsia="仿宋" w:cs="仿宋"/>
                <w:color w:val="000000"/>
                <w:szCs w:val="21"/>
              </w:rPr>
            </w:pPr>
            <w:r>
              <w:rPr>
                <w:rFonts w:hint="eastAsia" w:ascii="仿宋" w:hAnsi="仿宋" w:eastAsia="仿宋" w:cs="仿宋"/>
                <w:color w:val="000000"/>
                <w:szCs w:val="21"/>
              </w:rPr>
              <w:t>项目名称</w:t>
            </w:r>
          </w:p>
        </w:tc>
        <w:tc>
          <w:tcPr>
            <w:tcW w:w="1560" w:type="dxa"/>
            <w:tcBorders>
              <w:top w:val="single" w:color="auto" w:sz="4" w:space="0"/>
              <w:left w:val="nil"/>
              <w:bottom w:val="single" w:color="auto" w:sz="4" w:space="0"/>
              <w:right w:val="single" w:color="auto" w:sz="4" w:space="0"/>
            </w:tcBorders>
            <w:shd w:val="clear" w:color="auto" w:fill="auto"/>
            <w:vAlign w:val="center"/>
          </w:tcPr>
          <w:p w14:paraId="14E560A4">
            <w:pPr>
              <w:widowControl/>
              <w:jc w:val="center"/>
              <w:rPr>
                <w:rFonts w:hint="eastAsia" w:ascii="仿宋" w:hAnsi="仿宋" w:eastAsia="仿宋" w:cs="仿宋"/>
                <w:color w:val="000000"/>
                <w:szCs w:val="21"/>
              </w:rPr>
            </w:pPr>
            <w:r>
              <w:rPr>
                <w:rFonts w:hint="eastAsia" w:ascii="仿宋" w:hAnsi="仿宋" w:eastAsia="仿宋" w:cs="仿宋"/>
                <w:color w:val="000000"/>
                <w:szCs w:val="21"/>
              </w:rPr>
              <w:t>规格型号</w:t>
            </w:r>
          </w:p>
        </w:tc>
        <w:tc>
          <w:tcPr>
            <w:tcW w:w="680" w:type="dxa"/>
            <w:tcBorders>
              <w:top w:val="single" w:color="auto" w:sz="4" w:space="0"/>
              <w:left w:val="nil"/>
              <w:bottom w:val="single" w:color="auto" w:sz="4" w:space="0"/>
              <w:right w:val="single" w:color="auto" w:sz="4" w:space="0"/>
            </w:tcBorders>
            <w:shd w:val="clear" w:color="auto" w:fill="auto"/>
            <w:vAlign w:val="center"/>
          </w:tcPr>
          <w:p w14:paraId="7896D752">
            <w:pPr>
              <w:widowControl/>
              <w:jc w:val="center"/>
              <w:rPr>
                <w:rFonts w:hint="eastAsia" w:ascii="仿宋" w:hAnsi="仿宋" w:eastAsia="仿宋" w:cs="仿宋"/>
                <w:color w:val="000000"/>
                <w:szCs w:val="21"/>
              </w:rPr>
            </w:pPr>
            <w:r>
              <w:rPr>
                <w:rFonts w:hint="eastAsia" w:ascii="仿宋" w:hAnsi="仿宋" w:eastAsia="仿宋" w:cs="仿宋"/>
                <w:color w:val="000000"/>
                <w:szCs w:val="21"/>
              </w:rPr>
              <w:t>单位</w:t>
            </w:r>
          </w:p>
        </w:tc>
        <w:tc>
          <w:tcPr>
            <w:tcW w:w="760" w:type="dxa"/>
            <w:tcBorders>
              <w:top w:val="single" w:color="auto" w:sz="4" w:space="0"/>
              <w:left w:val="nil"/>
              <w:bottom w:val="single" w:color="auto" w:sz="4" w:space="0"/>
              <w:right w:val="single" w:color="auto" w:sz="4" w:space="0"/>
            </w:tcBorders>
            <w:shd w:val="clear" w:color="auto" w:fill="auto"/>
            <w:vAlign w:val="center"/>
          </w:tcPr>
          <w:p w14:paraId="0E150181">
            <w:pPr>
              <w:widowControl/>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340" w:type="dxa"/>
            <w:tcBorders>
              <w:top w:val="single" w:color="auto" w:sz="4" w:space="0"/>
              <w:left w:val="nil"/>
              <w:bottom w:val="single" w:color="auto" w:sz="4" w:space="0"/>
              <w:right w:val="single" w:color="auto" w:sz="4" w:space="0"/>
            </w:tcBorders>
            <w:shd w:val="clear" w:color="auto" w:fill="auto"/>
            <w:vAlign w:val="center"/>
          </w:tcPr>
          <w:p w14:paraId="05D05814">
            <w:pPr>
              <w:widowControl/>
              <w:jc w:val="center"/>
              <w:rPr>
                <w:rFonts w:hint="eastAsia" w:ascii="仿宋" w:hAnsi="仿宋" w:eastAsia="仿宋" w:cs="仿宋"/>
                <w:color w:val="000000"/>
                <w:szCs w:val="21"/>
              </w:rPr>
            </w:pPr>
            <w:r>
              <w:rPr>
                <w:rFonts w:hint="eastAsia" w:ascii="仿宋" w:hAnsi="仿宋" w:eastAsia="仿宋" w:cs="仿宋"/>
                <w:color w:val="000000"/>
                <w:szCs w:val="21"/>
              </w:rPr>
              <w:t xml:space="preserve"> 单价（元） </w:t>
            </w:r>
          </w:p>
        </w:tc>
        <w:tc>
          <w:tcPr>
            <w:tcW w:w="1320" w:type="dxa"/>
            <w:tcBorders>
              <w:top w:val="single" w:color="auto" w:sz="4" w:space="0"/>
              <w:left w:val="nil"/>
              <w:bottom w:val="single" w:color="auto" w:sz="4" w:space="0"/>
              <w:right w:val="single" w:color="auto" w:sz="4" w:space="0"/>
            </w:tcBorders>
            <w:shd w:val="clear" w:color="auto" w:fill="auto"/>
            <w:vAlign w:val="center"/>
          </w:tcPr>
          <w:p w14:paraId="6D25BE8C">
            <w:pPr>
              <w:widowControl/>
              <w:jc w:val="center"/>
              <w:rPr>
                <w:rFonts w:hint="eastAsia" w:ascii="仿宋" w:hAnsi="仿宋" w:eastAsia="仿宋" w:cs="仿宋"/>
                <w:color w:val="000000"/>
                <w:szCs w:val="21"/>
              </w:rPr>
            </w:pPr>
            <w:r>
              <w:rPr>
                <w:rFonts w:hint="eastAsia" w:ascii="仿宋" w:hAnsi="仿宋" w:eastAsia="仿宋" w:cs="仿宋"/>
                <w:color w:val="000000"/>
                <w:szCs w:val="21"/>
              </w:rPr>
              <w:t xml:space="preserve"> 合计（元） </w:t>
            </w:r>
          </w:p>
        </w:tc>
        <w:tc>
          <w:tcPr>
            <w:tcW w:w="1340" w:type="dxa"/>
            <w:tcBorders>
              <w:top w:val="single" w:color="auto" w:sz="4" w:space="0"/>
              <w:left w:val="nil"/>
              <w:bottom w:val="single" w:color="auto" w:sz="4" w:space="0"/>
              <w:right w:val="single" w:color="auto" w:sz="4" w:space="0"/>
            </w:tcBorders>
            <w:shd w:val="clear" w:color="auto" w:fill="auto"/>
            <w:vAlign w:val="center"/>
          </w:tcPr>
          <w:p w14:paraId="5DB4D31F">
            <w:pPr>
              <w:widowControl/>
              <w:jc w:val="center"/>
              <w:rPr>
                <w:rFonts w:hint="eastAsia" w:ascii="仿宋" w:hAnsi="仿宋" w:eastAsia="仿宋" w:cs="仿宋"/>
                <w:color w:val="000000"/>
                <w:szCs w:val="21"/>
              </w:rPr>
            </w:pPr>
            <w:r>
              <w:rPr>
                <w:rFonts w:hint="eastAsia" w:ascii="仿宋" w:hAnsi="仿宋" w:eastAsia="仿宋" w:cs="仿宋"/>
                <w:color w:val="000000"/>
                <w:szCs w:val="21"/>
              </w:rPr>
              <w:t>备注</w:t>
            </w:r>
          </w:p>
        </w:tc>
      </w:tr>
      <w:tr w14:paraId="3B6899B0">
        <w:tblPrEx>
          <w:tblCellMar>
            <w:top w:w="0" w:type="dxa"/>
            <w:left w:w="108" w:type="dxa"/>
            <w:bottom w:w="0" w:type="dxa"/>
            <w:right w:w="108" w:type="dxa"/>
          </w:tblCellMar>
        </w:tblPrEx>
        <w:trPr>
          <w:trHeight w:val="472"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7D3ED908">
            <w:pPr>
              <w:widowControl/>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941" w:type="dxa"/>
            <w:tcBorders>
              <w:top w:val="nil"/>
              <w:left w:val="nil"/>
              <w:bottom w:val="single" w:color="auto" w:sz="4" w:space="0"/>
              <w:right w:val="single" w:color="auto" w:sz="4" w:space="0"/>
            </w:tcBorders>
            <w:shd w:val="clear" w:color="auto" w:fill="auto"/>
            <w:vAlign w:val="center"/>
          </w:tcPr>
          <w:p w14:paraId="3E0CD210">
            <w:pPr>
              <w:widowControl/>
              <w:jc w:val="center"/>
              <w:rPr>
                <w:rFonts w:hint="eastAsia" w:ascii="仿宋" w:hAnsi="仿宋" w:eastAsia="仿宋" w:cs="仿宋"/>
                <w:color w:val="000000"/>
                <w:szCs w:val="21"/>
              </w:rPr>
            </w:pPr>
            <w:r>
              <w:rPr>
                <w:rFonts w:hint="eastAsia" w:ascii="仿宋" w:hAnsi="仿宋" w:eastAsia="仿宋" w:cs="仿宋"/>
                <w:color w:val="000000"/>
                <w:szCs w:val="21"/>
              </w:rPr>
              <w:t>大力钳</w:t>
            </w:r>
          </w:p>
        </w:tc>
        <w:tc>
          <w:tcPr>
            <w:tcW w:w="1560" w:type="dxa"/>
            <w:tcBorders>
              <w:top w:val="nil"/>
              <w:left w:val="nil"/>
              <w:bottom w:val="single" w:color="auto" w:sz="4" w:space="0"/>
              <w:right w:val="single" w:color="auto" w:sz="4" w:space="0"/>
            </w:tcBorders>
            <w:shd w:val="clear" w:color="auto" w:fill="auto"/>
            <w:vAlign w:val="center"/>
          </w:tcPr>
          <w:p w14:paraId="2F3943E4">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36寸/900</w:t>
            </w:r>
          </w:p>
        </w:tc>
        <w:tc>
          <w:tcPr>
            <w:tcW w:w="680" w:type="dxa"/>
            <w:tcBorders>
              <w:top w:val="nil"/>
              <w:left w:val="nil"/>
              <w:bottom w:val="single" w:color="auto" w:sz="4" w:space="0"/>
              <w:right w:val="single" w:color="auto" w:sz="4" w:space="0"/>
            </w:tcBorders>
            <w:shd w:val="clear" w:color="auto" w:fill="auto"/>
            <w:vAlign w:val="center"/>
          </w:tcPr>
          <w:p w14:paraId="6E0B1597">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把</w:t>
            </w:r>
          </w:p>
        </w:tc>
        <w:tc>
          <w:tcPr>
            <w:tcW w:w="760" w:type="dxa"/>
            <w:tcBorders>
              <w:top w:val="nil"/>
              <w:left w:val="nil"/>
              <w:bottom w:val="single" w:color="auto" w:sz="4" w:space="0"/>
              <w:right w:val="single" w:color="auto" w:sz="4" w:space="0"/>
            </w:tcBorders>
            <w:shd w:val="clear" w:color="auto" w:fill="auto"/>
            <w:vAlign w:val="center"/>
          </w:tcPr>
          <w:p w14:paraId="1EFDFB48">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1340" w:type="dxa"/>
            <w:tcBorders>
              <w:top w:val="nil"/>
              <w:left w:val="nil"/>
              <w:bottom w:val="single" w:color="auto" w:sz="4" w:space="0"/>
              <w:right w:val="single" w:color="auto" w:sz="4" w:space="0"/>
            </w:tcBorders>
            <w:shd w:val="clear" w:color="auto" w:fill="auto"/>
            <w:vAlign w:val="center"/>
          </w:tcPr>
          <w:p w14:paraId="7A0913F8">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1CC9E67E">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03CE2E1F">
            <w:pPr>
              <w:widowControl/>
              <w:jc w:val="center"/>
              <w:rPr>
                <w:rFonts w:hint="eastAsia" w:ascii="仿宋" w:hAnsi="仿宋" w:eastAsia="仿宋" w:cs="仿宋"/>
                <w:color w:val="000000"/>
                <w:szCs w:val="21"/>
              </w:rPr>
            </w:pPr>
          </w:p>
        </w:tc>
      </w:tr>
      <w:tr w14:paraId="339D9EE0">
        <w:tblPrEx>
          <w:tblCellMar>
            <w:top w:w="0" w:type="dxa"/>
            <w:left w:w="108" w:type="dxa"/>
            <w:bottom w:w="0" w:type="dxa"/>
            <w:right w:w="108" w:type="dxa"/>
          </w:tblCellMar>
        </w:tblPrEx>
        <w:trPr>
          <w:trHeight w:val="473"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6E126C10">
            <w:pPr>
              <w:widowControl/>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1941" w:type="dxa"/>
            <w:tcBorders>
              <w:top w:val="nil"/>
              <w:left w:val="nil"/>
              <w:bottom w:val="single" w:color="auto" w:sz="4" w:space="0"/>
              <w:right w:val="single" w:color="auto" w:sz="4" w:space="0"/>
            </w:tcBorders>
            <w:shd w:val="clear" w:color="auto" w:fill="auto"/>
            <w:vAlign w:val="center"/>
          </w:tcPr>
          <w:p w14:paraId="263F9D8A">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铁锹</w:t>
            </w:r>
          </w:p>
        </w:tc>
        <w:tc>
          <w:tcPr>
            <w:tcW w:w="1560" w:type="dxa"/>
            <w:tcBorders>
              <w:top w:val="nil"/>
              <w:left w:val="nil"/>
              <w:bottom w:val="single" w:color="auto" w:sz="4" w:space="0"/>
              <w:right w:val="single" w:color="auto" w:sz="4" w:space="0"/>
            </w:tcBorders>
            <w:shd w:val="clear" w:color="auto" w:fill="auto"/>
            <w:vAlign w:val="center"/>
          </w:tcPr>
          <w:p w14:paraId="5542E6F2">
            <w:pPr>
              <w:widowControl/>
              <w:jc w:val="center"/>
              <w:rPr>
                <w:rFonts w:hint="eastAsia" w:ascii="仿宋" w:hAnsi="仿宋" w:eastAsia="仿宋" w:cs="仿宋"/>
                <w:color w:val="000000"/>
                <w:szCs w:val="21"/>
              </w:rPr>
            </w:pPr>
          </w:p>
        </w:tc>
        <w:tc>
          <w:tcPr>
            <w:tcW w:w="680" w:type="dxa"/>
            <w:tcBorders>
              <w:top w:val="nil"/>
              <w:left w:val="nil"/>
              <w:bottom w:val="single" w:color="auto" w:sz="4" w:space="0"/>
              <w:right w:val="single" w:color="auto" w:sz="4" w:space="0"/>
            </w:tcBorders>
            <w:shd w:val="clear" w:color="auto" w:fill="auto"/>
            <w:vAlign w:val="center"/>
          </w:tcPr>
          <w:p w14:paraId="59687B95">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把</w:t>
            </w:r>
          </w:p>
        </w:tc>
        <w:tc>
          <w:tcPr>
            <w:tcW w:w="760" w:type="dxa"/>
            <w:tcBorders>
              <w:top w:val="nil"/>
              <w:left w:val="nil"/>
              <w:bottom w:val="single" w:color="auto" w:sz="4" w:space="0"/>
              <w:right w:val="single" w:color="auto" w:sz="4" w:space="0"/>
            </w:tcBorders>
            <w:shd w:val="clear" w:color="auto" w:fill="auto"/>
            <w:vAlign w:val="center"/>
          </w:tcPr>
          <w:p w14:paraId="119E8D29">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1340" w:type="dxa"/>
            <w:tcBorders>
              <w:top w:val="nil"/>
              <w:left w:val="nil"/>
              <w:bottom w:val="single" w:color="auto" w:sz="4" w:space="0"/>
              <w:right w:val="single" w:color="auto" w:sz="4" w:space="0"/>
            </w:tcBorders>
            <w:shd w:val="clear" w:color="auto" w:fill="auto"/>
            <w:vAlign w:val="center"/>
          </w:tcPr>
          <w:p w14:paraId="3AF2DF7C">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08AE7705">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53364596">
            <w:pPr>
              <w:widowControl/>
              <w:jc w:val="center"/>
              <w:rPr>
                <w:rFonts w:hint="eastAsia" w:ascii="仿宋" w:hAnsi="仿宋" w:eastAsia="仿宋" w:cs="仿宋"/>
                <w:color w:val="000000"/>
                <w:szCs w:val="21"/>
              </w:rPr>
            </w:pPr>
          </w:p>
        </w:tc>
      </w:tr>
      <w:tr w14:paraId="65231F4D">
        <w:tblPrEx>
          <w:tblCellMar>
            <w:top w:w="0" w:type="dxa"/>
            <w:left w:w="108" w:type="dxa"/>
            <w:bottom w:w="0" w:type="dxa"/>
            <w:right w:w="108" w:type="dxa"/>
          </w:tblCellMar>
        </w:tblPrEx>
        <w:trPr>
          <w:trHeight w:val="422"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5D65A004">
            <w:pPr>
              <w:widowControl/>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1941" w:type="dxa"/>
            <w:tcBorders>
              <w:top w:val="nil"/>
              <w:left w:val="nil"/>
              <w:bottom w:val="single" w:color="auto" w:sz="4" w:space="0"/>
              <w:right w:val="single" w:color="auto" w:sz="4" w:space="0"/>
            </w:tcBorders>
            <w:shd w:val="clear" w:color="auto" w:fill="auto"/>
            <w:vAlign w:val="center"/>
          </w:tcPr>
          <w:p w14:paraId="7DBBCAFA">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消防斧</w:t>
            </w:r>
          </w:p>
        </w:tc>
        <w:tc>
          <w:tcPr>
            <w:tcW w:w="1560" w:type="dxa"/>
            <w:tcBorders>
              <w:top w:val="nil"/>
              <w:left w:val="nil"/>
              <w:bottom w:val="single" w:color="auto" w:sz="4" w:space="0"/>
              <w:right w:val="single" w:color="auto" w:sz="4" w:space="0"/>
            </w:tcBorders>
            <w:shd w:val="clear" w:color="auto" w:fill="auto"/>
            <w:vAlign w:val="center"/>
          </w:tcPr>
          <w:p w14:paraId="467FFBB4">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碳钢/92</w:t>
            </w:r>
          </w:p>
        </w:tc>
        <w:tc>
          <w:tcPr>
            <w:tcW w:w="680" w:type="dxa"/>
            <w:tcBorders>
              <w:top w:val="nil"/>
              <w:left w:val="nil"/>
              <w:bottom w:val="single" w:color="auto" w:sz="4" w:space="0"/>
              <w:right w:val="single" w:color="auto" w:sz="4" w:space="0"/>
            </w:tcBorders>
            <w:shd w:val="clear" w:color="auto" w:fill="auto"/>
            <w:vAlign w:val="center"/>
          </w:tcPr>
          <w:p w14:paraId="7F7D23F3">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米</w:t>
            </w:r>
          </w:p>
        </w:tc>
        <w:tc>
          <w:tcPr>
            <w:tcW w:w="760" w:type="dxa"/>
            <w:tcBorders>
              <w:top w:val="nil"/>
              <w:left w:val="nil"/>
              <w:bottom w:val="single" w:color="auto" w:sz="4" w:space="0"/>
              <w:right w:val="single" w:color="auto" w:sz="4" w:space="0"/>
            </w:tcBorders>
            <w:shd w:val="clear" w:color="auto" w:fill="auto"/>
            <w:vAlign w:val="center"/>
          </w:tcPr>
          <w:p w14:paraId="6A8F98B9">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1340" w:type="dxa"/>
            <w:tcBorders>
              <w:top w:val="nil"/>
              <w:left w:val="nil"/>
              <w:bottom w:val="single" w:color="auto" w:sz="4" w:space="0"/>
              <w:right w:val="single" w:color="auto" w:sz="4" w:space="0"/>
            </w:tcBorders>
            <w:shd w:val="clear" w:color="auto" w:fill="auto"/>
            <w:vAlign w:val="center"/>
          </w:tcPr>
          <w:p w14:paraId="184B4201">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292D438F">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736FAF0D">
            <w:pPr>
              <w:widowControl/>
              <w:jc w:val="center"/>
              <w:rPr>
                <w:rFonts w:hint="eastAsia" w:ascii="仿宋" w:hAnsi="仿宋" w:eastAsia="仿宋" w:cs="仿宋"/>
                <w:color w:val="000000"/>
                <w:szCs w:val="21"/>
              </w:rPr>
            </w:pPr>
          </w:p>
        </w:tc>
      </w:tr>
      <w:tr w14:paraId="7716C964">
        <w:tblPrEx>
          <w:tblCellMar>
            <w:top w:w="0" w:type="dxa"/>
            <w:left w:w="108" w:type="dxa"/>
            <w:bottom w:w="0" w:type="dxa"/>
            <w:right w:w="108" w:type="dxa"/>
          </w:tblCellMar>
        </w:tblPrEx>
        <w:trPr>
          <w:trHeight w:val="410" w:hRule="atLeast"/>
        </w:trPr>
        <w:tc>
          <w:tcPr>
            <w:tcW w:w="855" w:type="dxa"/>
            <w:tcBorders>
              <w:top w:val="nil"/>
              <w:left w:val="single" w:color="auto" w:sz="4" w:space="0"/>
              <w:bottom w:val="single" w:color="auto" w:sz="4" w:space="0"/>
              <w:right w:val="single" w:color="auto" w:sz="4" w:space="0"/>
            </w:tcBorders>
            <w:shd w:val="clear" w:color="auto" w:fill="auto"/>
            <w:vAlign w:val="center"/>
          </w:tcPr>
          <w:p w14:paraId="21A9FC68">
            <w:pPr>
              <w:widowControl/>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1941" w:type="dxa"/>
            <w:tcBorders>
              <w:top w:val="nil"/>
              <w:left w:val="nil"/>
              <w:bottom w:val="single" w:color="auto" w:sz="4" w:space="0"/>
              <w:right w:val="single" w:color="auto" w:sz="4" w:space="0"/>
            </w:tcBorders>
            <w:shd w:val="clear" w:color="auto" w:fill="auto"/>
            <w:vAlign w:val="center"/>
          </w:tcPr>
          <w:p w14:paraId="3F720F35">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汽车灭火毯</w:t>
            </w:r>
          </w:p>
        </w:tc>
        <w:tc>
          <w:tcPr>
            <w:tcW w:w="1560" w:type="dxa"/>
            <w:tcBorders>
              <w:top w:val="nil"/>
              <w:left w:val="nil"/>
              <w:bottom w:val="single" w:color="auto" w:sz="4" w:space="0"/>
              <w:right w:val="single" w:color="auto" w:sz="4" w:space="0"/>
            </w:tcBorders>
            <w:shd w:val="clear" w:color="auto" w:fill="auto"/>
            <w:vAlign w:val="center"/>
          </w:tcPr>
          <w:p w14:paraId="7F29320A">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6*8</w:t>
            </w:r>
          </w:p>
        </w:tc>
        <w:tc>
          <w:tcPr>
            <w:tcW w:w="680" w:type="dxa"/>
            <w:tcBorders>
              <w:top w:val="nil"/>
              <w:left w:val="nil"/>
              <w:bottom w:val="single" w:color="auto" w:sz="4" w:space="0"/>
              <w:right w:val="single" w:color="auto" w:sz="4" w:space="0"/>
            </w:tcBorders>
            <w:shd w:val="clear" w:color="auto" w:fill="auto"/>
            <w:vAlign w:val="center"/>
          </w:tcPr>
          <w:p w14:paraId="0C084804">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条</w:t>
            </w:r>
          </w:p>
        </w:tc>
        <w:tc>
          <w:tcPr>
            <w:tcW w:w="760" w:type="dxa"/>
            <w:tcBorders>
              <w:top w:val="nil"/>
              <w:left w:val="nil"/>
              <w:bottom w:val="single" w:color="auto" w:sz="4" w:space="0"/>
              <w:right w:val="single" w:color="auto" w:sz="4" w:space="0"/>
            </w:tcBorders>
            <w:shd w:val="clear" w:color="auto" w:fill="auto"/>
            <w:vAlign w:val="center"/>
          </w:tcPr>
          <w:p w14:paraId="4E1C82E7">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bookmarkStart w:id="3" w:name="_GoBack"/>
            <w:bookmarkEnd w:id="3"/>
          </w:p>
        </w:tc>
        <w:tc>
          <w:tcPr>
            <w:tcW w:w="1340" w:type="dxa"/>
            <w:tcBorders>
              <w:top w:val="nil"/>
              <w:left w:val="nil"/>
              <w:bottom w:val="single" w:color="auto" w:sz="4" w:space="0"/>
              <w:right w:val="single" w:color="auto" w:sz="4" w:space="0"/>
            </w:tcBorders>
            <w:shd w:val="clear" w:color="auto" w:fill="auto"/>
            <w:vAlign w:val="center"/>
          </w:tcPr>
          <w:p w14:paraId="3ED128CD">
            <w:pPr>
              <w:widowControl/>
              <w:jc w:val="center"/>
              <w:rPr>
                <w:rFonts w:hint="default" w:ascii="仿宋" w:hAnsi="仿宋" w:eastAsia="仿宋" w:cs="仿宋"/>
                <w:color w:val="000000"/>
                <w:szCs w:val="21"/>
                <w:lang w:val="en-US" w:eastAsia="zh-CN"/>
              </w:rPr>
            </w:pPr>
          </w:p>
        </w:tc>
        <w:tc>
          <w:tcPr>
            <w:tcW w:w="1320" w:type="dxa"/>
            <w:tcBorders>
              <w:top w:val="nil"/>
              <w:left w:val="nil"/>
              <w:bottom w:val="single" w:color="auto" w:sz="4" w:space="0"/>
              <w:right w:val="single" w:color="auto" w:sz="4" w:space="0"/>
            </w:tcBorders>
            <w:shd w:val="clear" w:color="auto" w:fill="auto"/>
            <w:vAlign w:val="center"/>
          </w:tcPr>
          <w:p w14:paraId="0AF2C3B5">
            <w:pPr>
              <w:widowControl/>
              <w:jc w:val="center"/>
              <w:rPr>
                <w:rFonts w:hint="default" w:ascii="仿宋" w:hAnsi="仿宋" w:eastAsia="仿宋" w:cs="仿宋"/>
                <w:color w:val="000000"/>
                <w:szCs w:val="21"/>
                <w:lang w:val="en-US" w:eastAsia="zh-CN"/>
              </w:rPr>
            </w:pPr>
          </w:p>
        </w:tc>
        <w:tc>
          <w:tcPr>
            <w:tcW w:w="1340" w:type="dxa"/>
            <w:tcBorders>
              <w:top w:val="nil"/>
              <w:left w:val="nil"/>
              <w:bottom w:val="single" w:color="auto" w:sz="4" w:space="0"/>
              <w:right w:val="single" w:color="auto" w:sz="4" w:space="0"/>
            </w:tcBorders>
            <w:shd w:val="clear" w:color="auto" w:fill="auto"/>
            <w:vAlign w:val="center"/>
          </w:tcPr>
          <w:p w14:paraId="41B6E19F">
            <w:pPr>
              <w:widowControl/>
              <w:jc w:val="center"/>
              <w:rPr>
                <w:rFonts w:hint="eastAsia" w:ascii="仿宋" w:hAnsi="仿宋" w:eastAsia="仿宋" w:cs="仿宋"/>
                <w:color w:val="000000"/>
                <w:szCs w:val="21"/>
              </w:rPr>
            </w:pPr>
          </w:p>
        </w:tc>
      </w:tr>
      <w:tr w14:paraId="1562278E">
        <w:tblPrEx>
          <w:tblCellMar>
            <w:top w:w="0" w:type="dxa"/>
            <w:left w:w="108" w:type="dxa"/>
            <w:bottom w:w="0" w:type="dxa"/>
            <w:right w:w="108" w:type="dxa"/>
          </w:tblCellMar>
        </w:tblPrEx>
        <w:trPr>
          <w:trHeight w:val="439" w:hRule="atLeast"/>
        </w:trPr>
        <w:tc>
          <w:tcPr>
            <w:tcW w:w="57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21502F">
            <w:pPr>
              <w:widowControl/>
              <w:jc w:val="right"/>
              <w:rPr>
                <w:rFonts w:hint="eastAsia" w:ascii="仿宋" w:hAnsi="仿宋" w:eastAsia="仿宋" w:cs="仿宋"/>
                <w:color w:val="000000"/>
                <w:sz w:val="22"/>
                <w:szCs w:val="22"/>
              </w:rPr>
            </w:pPr>
            <w:r>
              <w:rPr>
                <w:rFonts w:hint="eastAsia" w:ascii="仿宋" w:hAnsi="仿宋" w:eastAsia="仿宋" w:cs="仿宋"/>
                <w:color w:val="000000"/>
                <w:sz w:val="22"/>
                <w:szCs w:val="22"/>
              </w:rPr>
              <w:t>总计人民币小写：</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14:paraId="1062B7E9">
            <w:pPr>
              <w:widowControl/>
              <w:jc w:val="left"/>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 </w:t>
            </w:r>
          </w:p>
        </w:tc>
      </w:tr>
      <w:tr w14:paraId="0B794928">
        <w:tblPrEx>
          <w:tblCellMar>
            <w:top w:w="0" w:type="dxa"/>
            <w:left w:w="108" w:type="dxa"/>
            <w:bottom w:w="0" w:type="dxa"/>
            <w:right w:w="108" w:type="dxa"/>
          </w:tblCellMar>
        </w:tblPrEx>
        <w:trPr>
          <w:trHeight w:val="379" w:hRule="atLeast"/>
        </w:trPr>
        <w:tc>
          <w:tcPr>
            <w:tcW w:w="579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50018A">
            <w:pPr>
              <w:widowControl/>
              <w:jc w:val="right"/>
              <w:rPr>
                <w:rFonts w:hint="eastAsia" w:ascii="仿宋" w:hAnsi="仿宋" w:eastAsia="仿宋" w:cs="仿宋"/>
                <w:color w:val="000000"/>
                <w:sz w:val="22"/>
                <w:szCs w:val="22"/>
              </w:rPr>
            </w:pPr>
            <w:r>
              <w:rPr>
                <w:rFonts w:hint="eastAsia" w:ascii="仿宋" w:hAnsi="仿宋" w:eastAsia="仿宋" w:cs="仿宋"/>
                <w:color w:val="000000"/>
                <w:sz w:val="22"/>
                <w:szCs w:val="22"/>
              </w:rPr>
              <w:t>总计人民币大写：</w:t>
            </w:r>
          </w:p>
        </w:tc>
        <w:tc>
          <w:tcPr>
            <w:tcW w:w="4000" w:type="dxa"/>
            <w:gridSpan w:val="3"/>
            <w:tcBorders>
              <w:top w:val="single" w:color="auto" w:sz="4" w:space="0"/>
              <w:left w:val="nil"/>
              <w:bottom w:val="single" w:color="auto" w:sz="4" w:space="0"/>
              <w:right w:val="single" w:color="auto" w:sz="4" w:space="0"/>
            </w:tcBorders>
            <w:shd w:val="clear" w:color="auto" w:fill="auto"/>
            <w:vAlign w:val="center"/>
          </w:tcPr>
          <w:p w14:paraId="792FB614">
            <w:pPr>
              <w:widowControl/>
              <w:jc w:val="left"/>
              <w:rPr>
                <w:rFonts w:hint="eastAsia" w:ascii="仿宋" w:hAnsi="仿宋" w:eastAsia="仿宋" w:cs="仿宋"/>
                <w:color w:val="000000"/>
                <w:sz w:val="22"/>
                <w:szCs w:val="22"/>
              </w:rPr>
            </w:pPr>
          </w:p>
        </w:tc>
      </w:tr>
      <w:tr w14:paraId="78EF1B66">
        <w:tblPrEx>
          <w:tblCellMar>
            <w:top w:w="0" w:type="dxa"/>
            <w:left w:w="108" w:type="dxa"/>
            <w:bottom w:w="0" w:type="dxa"/>
            <w:right w:w="108" w:type="dxa"/>
          </w:tblCellMar>
        </w:tblPrEx>
        <w:trPr>
          <w:trHeight w:val="439" w:hRule="atLeast"/>
        </w:trPr>
        <w:tc>
          <w:tcPr>
            <w:tcW w:w="979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B151CEB">
            <w:pPr>
              <w:widowControl/>
              <w:jc w:val="left"/>
              <w:rPr>
                <w:rFonts w:hint="eastAsia" w:ascii="仿宋" w:hAnsi="仿宋" w:eastAsia="仿宋" w:cs="仿宋"/>
                <w:color w:val="000000"/>
                <w:sz w:val="22"/>
                <w:szCs w:val="22"/>
              </w:rPr>
            </w:pPr>
            <w:r>
              <w:rPr>
                <w:rFonts w:hint="eastAsia" w:ascii="仿宋" w:hAnsi="仿宋" w:eastAsia="仿宋" w:cs="仿宋"/>
                <w:color w:val="000000" w:themeColor="text1"/>
                <w:sz w:val="22"/>
                <w:szCs w:val="22"/>
                <w14:textFill>
                  <w14:solidFill>
                    <w14:schemeClr w14:val="tx1"/>
                  </w14:solidFill>
                </w14:textFill>
              </w:rPr>
              <w:t>注：该项目报价为包干价（含：安全管理措施费、机械费、税费等所有费用）。</w:t>
            </w:r>
          </w:p>
        </w:tc>
      </w:tr>
    </w:tbl>
    <w:p w14:paraId="7C0B9809">
      <w:pPr>
        <w:spacing w:line="480" w:lineRule="exact"/>
        <w:ind w:firstLine="532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报价单位（盖章）：</w:t>
      </w:r>
    </w:p>
    <w:p w14:paraId="40B5875E">
      <w:pPr>
        <w:spacing w:line="480" w:lineRule="exact"/>
        <w:ind w:firstLine="532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报价日期：</w:t>
      </w:r>
    </w:p>
    <w:sectPr>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CDCE3895-F481-4E41-B130-5D87719E7F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NTAyODFkY2M3YjdkMDMxNDllMzFhNGMzNmRkY2YifQ=="/>
  </w:docVars>
  <w:rsids>
    <w:rsidRoot w:val="003F78CA"/>
    <w:rsid w:val="00287FC7"/>
    <w:rsid w:val="003F78CA"/>
    <w:rsid w:val="004E4121"/>
    <w:rsid w:val="00684460"/>
    <w:rsid w:val="008113F7"/>
    <w:rsid w:val="00933B6C"/>
    <w:rsid w:val="00951B0D"/>
    <w:rsid w:val="00E8374A"/>
    <w:rsid w:val="04172CFB"/>
    <w:rsid w:val="07492528"/>
    <w:rsid w:val="077C7376"/>
    <w:rsid w:val="0D5D2146"/>
    <w:rsid w:val="121216F1"/>
    <w:rsid w:val="14350061"/>
    <w:rsid w:val="1461426A"/>
    <w:rsid w:val="18671F3F"/>
    <w:rsid w:val="186C7681"/>
    <w:rsid w:val="1B522B5E"/>
    <w:rsid w:val="1C6054B3"/>
    <w:rsid w:val="20EF2BFD"/>
    <w:rsid w:val="20F91002"/>
    <w:rsid w:val="215F79BB"/>
    <w:rsid w:val="21C26E80"/>
    <w:rsid w:val="22244B28"/>
    <w:rsid w:val="222E44D9"/>
    <w:rsid w:val="24B8469B"/>
    <w:rsid w:val="293D463F"/>
    <w:rsid w:val="2A0D4681"/>
    <w:rsid w:val="2AB701CB"/>
    <w:rsid w:val="2D0478A2"/>
    <w:rsid w:val="2F025625"/>
    <w:rsid w:val="30196C9B"/>
    <w:rsid w:val="304F3CB8"/>
    <w:rsid w:val="3052441A"/>
    <w:rsid w:val="3056138E"/>
    <w:rsid w:val="33742CFE"/>
    <w:rsid w:val="378648A5"/>
    <w:rsid w:val="379C71E3"/>
    <w:rsid w:val="3832633A"/>
    <w:rsid w:val="3B1D2F01"/>
    <w:rsid w:val="3C4711D4"/>
    <w:rsid w:val="3DC702B7"/>
    <w:rsid w:val="3EA54887"/>
    <w:rsid w:val="3F8E74B7"/>
    <w:rsid w:val="3FE535D7"/>
    <w:rsid w:val="40432CEF"/>
    <w:rsid w:val="408829FA"/>
    <w:rsid w:val="417479C1"/>
    <w:rsid w:val="41AA41C0"/>
    <w:rsid w:val="41E5201D"/>
    <w:rsid w:val="47BE68A2"/>
    <w:rsid w:val="49025314"/>
    <w:rsid w:val="4BDA592E"/>
    <w:rsid w:val="51E06B0B"/>
    <w:rsid w:val="52E707B6"/>
    <w:rsid w:val="567846F6"/>
    <w:rsid w:val="58F44C79"/>
    <w:rsid w:val="59744640"/>
    <w:rsid w:val="5AF63E09"/>
    <w:rsid w:val="5C2D19D3"/>
    <w:rsid w:val="5C5E339D"/>
    <w:rsid w:val="5DFF3DCC"/>
    <w:rsid w:val="620A5039"/>
    <w:rsid w:val="631927B9"/>
    <w:rsid w:val="6634479F"/>
    <w:rsid w:val="673E6667"/>
    <w:rsid w:val="682A53FC"/>
    <w:rsid w:val="6D033285"/>
    <w:rsid w:val="6D2531FB"/>
    <w:rsid w:val="6DE05374"/>
    <w:rsid w:val="6E02353D"/>
    <w:rsid w:val="6F2952CF"/>
    <w:rsid w:val="702C48A1"/>
    <w:rsid w:val="706A7177"/>
    <w:rsid w:val="723839D1"/>
    <w:rsid w:val="74A955E6"/>
    <w:rsid w:val="74DC231E"/>
    <w:rsid w:val="74E802F0"/>
    <w:rsid w:val="75220D6E"/>
    <w:rsid w:val="75765B5E"/>
    <w:rsid w:val="777F79AC"/>
    <w:rsid w:val="7BCC6F38"/>
    <w:rsid w:val="7CAD0B17"/>
    <w:rsid w:val="7CCA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ind w:left="601" w:hanging="601"/>
      <w:jc w:val="left"/>
    </w:pPr>
    <w:rPr>
      <w:rFonts w:ascii="宋体" w:hAnsi="宋体" w:cs="宋体"/>
      <w:sz w:val="24"/>
    </w:rPr>
  </w:style>
  <w:style w:type="character" w:customStyle="1" w:styleId="7">
    <w:name w:val="页眉 字符"/>
    <w:basedOn w:val="6"/>
    <w:link w:val="3"/>
    <w:qFormat/>
    <w:uiPriority w:val="0"/>
    <w:rPr>
      <w:sz w:val="18"/>
      <w:szCs w:val="18"/>
    </w:rPr>
  </w:style>
  <w:style w:type="character" w:customStyle="1" w:styleId="8">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1245</Words>
  <Characters>1305</Characters>
  <Lines>82</Lines>
  <Paragraphs>81</Paragraphs>
  <TotalTime>10</TotalTime>
  <ScaleCrop>false</ScaleCrop>
  <LinksUpToDate>false</LinksUpToDate>
  <CharactersWithSpaces>1310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2024-11-20T00:47:00Z</dcterms:created>
  <dc:creator>Admin</dc:creator>
  <cp:lastModifiedBy>季云</cp:lastModifiedBy>
  <dcterms:modified xsi:type="dcterms:W3CDTF">2025-09-03T08:18:49Z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23154A958624461E981EC179957E2C8D_12</vt:lpwstr>
  </property>
  <property fmtid="{D5CDD505-2E9C-101B-9397-08002B2CF9AE}" pid="4" name="KSOTemplateDocerSaveRecord">
    <vt:lpwstr>eyJoZGlkIjoiYjgyN2JlMDJjOGNhYWE5Yzc5Nzk2NGMwZTRmMTRkZGIiLCJ1c2VySWQiOiIyMjkxMjMzMzkifQ==</vt:lpwstr>
  </property>
</Properties>
</file>