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42FABA">
      <w:pPr>
        <w:jc w:val="center"/>
        <w:rPr>
          <w:rFonts w:hint="eastAsia" w:ascii="仿宋" w:hAnsi="仿宋" w:eastAsia="仿宋" w:cs="仿宋"/>
          <w:b/>
          <w:bCs/>
          <w:sz w:val="32"/>
          <w:szCs w:val="32"/>
        </w:rPr>
      </w:pPr>
      <w:bookmarkStart w:id="0" w:name="OLE_LINK1"/>
      <w:r>
        <w:rPr>
          <w:rFonts w:hint="eastAsia" w:ascii="仿宋" w:hAnsi="仿宋" w:eastAsia="仿宋" w:cs="仿宋"/>
          <w:b/>
          <w:bCs/>
          <w:sz w:val="32"/>
          <w:szCs w:val="32"/>
          <w:lang w:val="en-US" w:eastAsia="zh-CN"/>
        </w:rPr>
        <w:t>母婴楼3楼</w:t>
      </w:r>
      <w:bookmarkStart w:id="5" w:name="_GoBack"/>
      <w:bookmarkEnd w:id="5"/>
      <w:r>
        <w:rPr>
          <w:rFonts w:hint="eastAsia" w:ascii="仿宋" w:hAnsi="仿宋" w:eastAsia="仿宋" w:cs="仿宋"/>
          <w:b/>
          <w:bCs/>
          <w:sz w:val="32"/>
          <w:szCs w:val="32"/>
          <w:lang w:val="en-US" w:eastAsia="zh-CN"/>
        </w:rPr>
        <w:t>产房手术室消防系统改造</w:t>
      </w:r>
      <w:r>
        <w:rPr>
          <w:rFonts w:hint="eastAsia" w:ascii="仿宋" w:hAnsi="仿宋" w:eastAsia="仿宋" w:cs="仿宋"/>
          <w:b/>
          <w:bCs/>
          <w:sz w:val="32"/>
          <w:szCs w:val="32"/>
        </w:rPr>
        <w:t>项目</w:t>
      </w:r>
      <w:bookmarkEnd w:id="0"/>
      <w:r>
        <w:rPr>
          <w:rFonts w:hint="eastAsia" w:ascii="仿宋" w:hAnsi="仿宋" w:eastAsia="仿宋" w:cs="仿宋"/>
          <w:b/>
          <w:bCs/>
          <w:sz w:val="32"/>
          <w:szCs w:val="32"/>
        </w:rPr>
        <w:t>比价方案</w:t>
      </w:r>
    </w:p>
    <w:p w14:paraId="2DEBC400">
      <w:pPr>
        <w:spacing w:line="480" w:lineRule="exact"/>
        <w:jc w:val="left"/>
        <w:rPr>
          <w:rFonts w:hint="eastAsia" w:ascii="仿宋" w:hAnsi="仿宋" w:eastAsia="仿宋"/>
          <w:color w:val="000000" w:themeColor="text1"/>
          <w:sz w:val="30"/>
          <w:szCs w:val="30"/>
          <w14:textFill>
            <w14:solidFill>
              <w14:schemeClr w14:val="tx1"/>
            </w14:solidFill>
          </w14:textFill>
        </w:rPr>
      </w:pPr>
      <w:bookmarkStart w:id="1" w:name="OLE_LINK6"/>
      <w:r>
        <w:rPr>
          <w:rFonts w:hint="eastAsia" w:ascii="仿宋" w:hAnsi="仿宋" w:eastAsia="仿宋"/>
          <w:color w:val="000000" w:themeColor="text1"/>
          <w:sz w:val="30"/>
          <w:szCs w:val="30"/>
          <w:lang w:val="en-US" w:eastAsia="zh-CN"/>
          <w14:textFill>
            <w14:solidFill>
              <w14:schemeClr w14:val="tx1"/>
            </w14:solidFill>
          </w14:textFill>
        </w:rPr>
        <w:t>母婴楼3楼产房手术室消防系统改造</w:t>
      </w:r>
      <w:r>
        <w:rPr>
          <w:rFonts w:hint="eastAsia" w:ascii="仿宋" w:hAnsi="仿宋" w:eastAsia="仿宋"/>
          <w:color w:val="000000" w:themeColor="text1"/>
          <w:sz w:val="30"/>
          <w:szCs w:val="30"/>
          <w14:textFill>
            <w14:solidFill>
              <w14:schemeClr w14:val="tx1"/>
            </w14:solidFill>
          </w14:textFill>
        </w:rPr>
        <w:t>项目比价方案具体要求如下</w:t>
      </w:r>
      <w:r>
        <w:rPr>
          <w:rFonts w:ascii="仿宋" w:hAnsi="仿宋" w:eastAsia="仿宋"/>
          <w:color w:val="000000" w:themeColor="text1"/>
          <w:sz w:val="30"/>
          <w:szCs w:val="30"/>
          <w14:textFill>
            <w14:solidFill>
              <w14:schemeClr w14:val="tx1"/>
            </w14:solidFill>
          </w14:textFill>
        </w:rPr>
        <w:t>：</w:t>
      </w:r>
      <w:bookmarkEnd w:id="1"/>
    </w:p>
    <w:p w14:paraId="342780C7">
      <w:pPr>
        <w:ind w:firstLine="600"/>
        <w:rPr>
          <w:rFonts w:hint="eastAsia" w:ascii="仿宋" w:hAnsi="仿宋" w:eastAsia="仿宋"/>
          <w:b/>
          <w:bCs/>
          <w:sz w:val="30"/>
          <w:szCs w:val="30"/>
        </w:rPr>
      </w:pPr>
      <w:r>
        <w:rPr>
          <w:rFonts w:hint="eastAsia" w:ascii="仿宋" w:hAnsi="仿宋" w:eastAsia="仿宋"/>
          <w:b/>
          <w:bCs/>
          <w:sz w:val="30"/>
          <w:szCs w:val="30"/>
        </w:rPr>
        <w:t>一、项目概况及要求：</w:t>
      </w:r>
    </w:p>
    <w:p w14:paraId="5112A889">
      <w:pPr>
        <w:adjustRightInd w:val="0"/>
        <w:spacing w:line="52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rPr>
        <w:t>1.</w:t>
      </w:r>
      <w:r>
        <w:rPr>
          <w:rFonts w:hint="eastAsia" w:ascii="仿宋" w:hAnsi="仿宋" w:eastAsia="仿宋"/>
          <w:sz w:val="30"/>
          <w:szCs w:val="30"/>
          <w:lang w:val="en-US" w:eastAsia="zh-CN"/>
        </w:rPr>
        <w:t>投标</w:t>
      </w:r>
      <w:r>
        <w:rPr>
          <w:rFonts w:hint="eastAsia" w:ascii="仿宋" w:hAnsi="仿宋" w:eastAsia="仿宋"/>
          <w:sz w:val="30"/>
          <w:szCs w:val="30"/>
        </w:rPr>
        <w:t>供应商需按照现场要求自行勘察，</w:t>
      </w:r>
      <w:r>
        <w:rPr>
          <w:rFonts w:hint="eastAsia" w:ascii="仿宋" w:hAnsi="仿宋" w:eastAsia="仿宋"/>
          <w:sz w:val="30"/>
          <w:szCs w:val="30"/>
          <w:lang w:val="en-US" w:eastAsia="zh-CN"/>
        </w:rPr>
        <w:t>提供相关产品的检验报告及3C认证证书，产品为合格。</w:t>
      </w:r>
    </w:p>
    <w:p w14:paraId="2C738413">
      <w:pPr>
        <w:adjustRightInd w:val="0"/>
        <w:spacing w:line="520" w:lineRule="exact"/>
        <w:ind w:firstLine="600" w:firstLineChars="200"/>
        <w:rPr>
          <w:rFonts w:hint="eastAsia" w:ascii="仿宋" w:hAnsi="仿宋" w:eastAsia="仿宋"/>
          <w:sz w:val="30"/>
          <w:szCs w:val="30"/>
        </w:rPr>
      </w:pPr>
      <w:r>
        <w:rPr>
          <w:rFonts w:hint="eastAsia" w:ascii="仿宋" w:hAnsi="仿宋" w:eastAsia="仿宋"/>
          <w:sz w:val="30"/>
          <w:szCs w:val="30"/>
          <w:lang w:val="en-US" w:eastAsia="zh-CN"/>
        </w:rPr>
        <w:t>1.1</w:t>
      </w:r>
      <w:r>
        <w:rPr>
          <w:rFonts w:hint="eastAsia" w:ascii="仿宋" w:hAnsi="仿宋" w:eastAsia="仿宋"/>
          <w:sz w:val="30"/>
          <w:szCs w:val="30"/>
        </w:rPr>
        <w:t>进行系统排水及</w:t>
      </w:r>
      <w:r>
        <w:rPr>
          <w:rFonts w:hint="eastAsia" w:ascii="仿宋" w:hAnsi="仿宋" w:eastAsia="仿宋"/>
          <w:sz w:val="30"/>
          <w:szCs w:val="30"/>
          <w:lang w:val="en-US" w:eastAsia="zh-CN"/>
        </w:rPr>
        <w:t>喷淋</w:t>
      </w:r>
      <w:r>
        <w:rPr>
          <w:rFonts w:hint="eastAsia" w:ascii="仿宋" w:hAnsi="仿宋" w:eastAsia="仿宋"/>
          <w:sz w:val="30"/>
          <w:szCs w:val="30"/>
        </w:rPr>
        <w:t>给水管道的</w:t>
      </w:r>
      <w:r>
        <w:rPr>
          <w:rFonts w:hint="eastAsia" w:ascii="仿宋" w:hAnsi="仿宋" w:eastAsia="仿宋"/>
          <w:sz w:val="30"/>
          <w:szCs w:val="30"/>
          <w:lang w:val="en-US" w:eastAsia="zh-CN"/>
        </w:rPr>
        <w:t>拆除、喷淋头的</w:t>
      </w:r>
      <w:r>
        <w:rPr>
          <w:rFonts w:hint="eastAsia" w:ascii="仿宋" w:hAnsi="仿宋" w:eastAsia="仿宋"/>
          <w:sz w:val="30"/>
          <w:szCs w:val="30"/>
        </w:rPr>
        <w:t>安装，</w:t>
      </w:r>
      <w:bookmarkStart w:id="2" w:name="OLE_LINK5"/>
      <w:r>
        <w:rPr>
          <w:rFonts w:hint="eastAsia" w:ascii="仿宋" w:hAnsi="仿宋" w:eastAsia="仿宋"/>
          <w:sz w:val="30"/>
          <w:szCs w:val="30"/>
          <w:lang w:val="en-US" w:eastAsia="zh-CN"/>
        </w:rPr>
        <w:t>安装</w:t>
      </w:r>
      <w:r>
        <w:rPr>
          <w:rFonts w:hint="eastAsia" w:ascii="仿宋" w:hAnsi="仿宋" w:eastAsia="仿宋"/>
          <w:sz w:val="30"/>
          <w:szCs w:val="30"/>
        </w:rPr>
        <w:t>完成</w:t>
      </w:r>
      <w:r>
        <w:rPr>
          <w:rFonts w:hint="eastAsia" w:ascii="仿宋" w:hAnsi="仿宋" w:eastAsia="仿宋"/>
          <w:color w:val="000000" w:themeColor="text1"/>
          <w:sz w:val="30"/>
          <w:szCs w:val="30"/>
          <w14:textFill>
            <w14:solidFill>
              <w14:schemeClr w14:val="tx1"/>
            </w14:solidFill>
          </w14:textFill>
        </w:rPr>
        <w:t>注水时</w:t>
      </w:r>
      <w:r>
        <w:rPr>
          <w:rFonts w:hint="eastAsia" w:ascii="仿宋" w:hAnsi="仿宋" w:eastAsia="仿宋"/>
          <w:color w:val="000000" w:themeColor="text1"/>
          <w:sz w:val="30"/>
          <w:szCs w:val="30"/>
          <w:lang w:eastAsia="zh-CN"/>
          <w14:textFill>
            <w14:solidFill>
              <w14:schemeClr w14:val="tx1"/>
            </w14:solidFill>
          </w14:textFill>
        </w:rPr>
        <w:t>，</w:t>
      </w:r>
      <w:r>
        <w:rPr>
          <w:rFonts w:hint="eastAsia" w:ascii="仿宋" w:hAnsi="仿宋" w:eastAsia="仿宋"/>
          <w:color w:val="000000" w:themeColor="text1"/>
          <w:sz w:val="30"/>
          <w:szCs w:val="30"/>
          <w:lang w:val="en-US" w:eastAsia="zh-CN"/>
          <w14:textFill>
            <w14:solidFill>
              <w14:schemeClr w14:val="tx1"/>
            </w14:solidFill>
          </w14:textFill>
        </w:rPr>
        <w:t>其他未改造部位</w:t>
      </w:r>
      <w:r>
        <w:rPr>
          <w:rFonts w:hint="eastAsia" w:ascii="仿宋" w:hAnsi="仿宋" w:eastAsia="仿宋"/>
          <w:color w:val="000000" w:themeColor="text1"/>
          <w:sz w:val="30"/>
          <w:szCs w:val="30"/>
          <w14:textFill>
            <w14:solidFill>
              <w14:schemeClr w14:val="tx1"/>
            </w14:solidFill>
          </w14:textFill>
        </w:rPr>
        <w:t>出现的系统给水</w:t>
      </w:r>
      <w:bookmarkStart w:id="3" w:name="OLE_LINK3"/>
      <w:r>
        <w:rPr>
          <w:rFonts w:hint="eastAsia" w:ascii="仿宋" w:hAnsi="仿宋" w:eastAsia="仿宋"/>
          <w:color w:val="000000" w:themeColor="text1"/>
          <w:sz w:val="30"/>
          <w:szCs w:val="30"/>
          <w14:textFill>
            <w14:solidFill>
              <w14:schemeClr w14:val="tx1"/>
            </w14:solidFill>
          </w14:textFill>
        </w:rPr>
        <w:t>管道渗</w:t>
      </w:r>
      <w:bookmarkEnd w:id="3"/>
      <w:r>
        <w:rPr>
          <w:rFonts w:hint="eastAsia" w:ascii="仿宋" w:hAnsi="仿宋" w:eastAsia="仿宋"/>
          <w:color w:val="000000" w:themeColor="text1"/>
          <w:sz w:val="30"/>
          <w:szCs w:val="30"/>
          <w14:textFill>
            <w14:solidFill>
              <w14:schemeClr w14:val="tx1"/>
            </w14:solidFill>
          </w14:textFill>
        </w:rPr>
        <w:t>漏、卡箍接头等漏水现象均由中标单位负责维修处理（配件自理）</w:t>
      </w:r>
      <w:bookmarkEnd w:id="2"/>
      <w:r>
        <w:rPr>
          <w:rFonts w:hint="eastAsia" w:ascii="仿宋" w:hAnsi="仿宋" w:eastAsia="仿宋"/>
          <w:color w:val="000000" w:themeColor="text1"/>
          <w:sz w:val="30"/>
          <w:szCs w:val="30"/>
          <w14:textFill>
            <w14:solidFill>
              <w14:schemeClr w14:val="tx1"/>
            </w14:solidFill>
          </w14:textFill>
        </w:rPr>
        <w:t>，</w:t>
      </w:r>
      <w:r>
        <w:rPr>
          <w:rFonts w:hint="eastAsia" w:ascii="仿宋" w:hAnsi="仿宋" w:eastAsia="仿宋"/>
          <w:sz w:val="30"/>
          <w:szCs w:val="30"/>
        </w:rPr>
        <w:t>并提供验收资料。</w:t>
      </w:r>
    </w:p>
    <w:p w14:paraId="0E24FDC7">
      <w:pPr>
        <w:adjustRightInd w:val="0"/>
        <w:spacing w:line="520" w:lineRule="exact"/>
        <w:ind w:firstLine="600" w:firstLineChars="200"/>
        <w:rPr>
          <w:rFonts w:hint="default" w:ascii="仿宋" w:hAnsi="仿宋" w:eastAsia="仿宋"/>
          <w:sz w:val="30"/>
          <w:szCs w:val="30"/>
          <w:lang w:val="en-US" w:eastAsia="zh-CN"/>
        </w:rPr>
      </w:pPr>
      <w:r>
        <w:rPr>
          <w:rFonts w:hint="eastAsia" w:ascii="仿宋" w:hAnsi="仿宋" w:eastAsia="仿宋"/>
          <w:sz w:val="30"/>
          <w:szCs w:val="30"/>
          <w:lang w:val="en-US" w:eastAsia="zh-CN"/>
        </w:rPr>
        <w:t>1.2成交供应商需按照现场要求安装报警系统并接入外科楼消防报警控制系统、CAD点位图纸制作并上传至消防支队联网中心平台系统，测试正常。</w:t>
      </w:r>
    </w:p>
    <w:p w14:paraId="7CF31C43">
      <w:pPr>
        <w:spacing w:line="460" w:lineRule="exact"/>
        <w:ind w:firstLine="600"/>
        <w:rPr>
          <w:rFonts w:hint="eastAsia" w:ascii="仿宋" w:hAnsi="仿宋" w:eastAsia="仿宋"/>
          <w:sz w:val="30"/>
          <w:szCs w:val="30"/>
        </w:rPr>
      </w:pPr>
      <w:r>
        <w:rPr>
          <w:rFonts w:hint="eastAsia" w:ascii="仿宋" w:hAnsi="仿宋" w:eastAsia="仿宋"/>
          <w:sz w:val="30"/>
          <w:szCs w:val="30"/>
        </w:rPr>
        <w:t>2.现场自行勘察或与联系人（蒋老师13775350888）联系勘察现场。</w:t>
      </w:r>
    </w:p>
    <w:p w14:paraId="18AE26DB">
      <w:pPr>
        <w:adjustRightInd w:val="0"/>
        <w:spacing w:line="520" w:lineRule="exact"/>
        <w:ind w:firstLine="600" w:firstLineChars="200"/>
        <w:rPr>
          <w:rFonts w:hint="eastAsia" w:ascii="仿宋" w:hAnsi="仿宋" w:eastAsia="仿宋"/>
          <w:sz w:val="30"/>
          <w:szCs w:val="30"/>
        </w:rPr>
      </w:pPr>
      <w:r>
        <w:rPr>
          <w:rFonts w:hint="eastAsia" w:ascii="仿宋" w:hAnsi="仿宋" w:eastAsia="仿宋"/>
          <w:sz w:val="30"/>
          <w:szCs w:val="30"/>
        </w:rPr>
        <w:t>3.施工方案由施工单位自拟，确保维修质量和施工安全。</w:t>
      </w:r>
    </w:p>
    <w:p w14:paraId="44616D13">
      <w:pPr>
        <w:adjustRightInd w:val="0"/>
        <w:spacing w:line="520" w:lineRule="exact"/>
        <w:ind w:firstLine="600" w:firstLineChars="200"/>
        <w:rPr>
          <w:rFonts w:hint="eastAsia" w:ascii="仿宋" w:hAnsi="仿宋" w:eastAsia="仿宋"/>
          <w:sz w:val="30"/>
          <w:szCs w:val="30"/>
        </w:rPr>
      </w:pPr>
      <w:r>
        <w:rPr>
          <w:rFonts w:hint="eastAsia" w:ascii="仿宋" w:hAnsi="仿宋" w:eastAsia="仿宋"/>
          <w:sz w:val="30"/>
          <w:szCs w:val="30"/>
        </w:rPr>
        <w:t>4.</w:t>
      </w:r>
      <w:r>
        <w:rPr>
          <w:rFonts w:hint="eastAsia" w:ascii="仿宋" w:hAnsi="仿宋" w:eastAsia="仿宋" w:cs="宋体"/>
          <w:sz w:val="30"/>
          <w:szCs w:val="30"/>
        </w:rPr>
        <w:t>按行业规程要求，服从院方安排，质保期为2年。（以验收之日起计）</w:t>
      </w:r>
      <w:r>
        <w:rPr>
          <w:rFonts w:hint="eastAsia" w:ascii="仿宋" w:hAnsi="仿宋" w:eastAsia="仿宋"/>
          <w:sz w:val="30"/>
          <w:szCs w:val="30"/>
        </w:rPr>
        <w:t>。</w:t>
      </w:r>
    </w:p>
    <w:p w14:paraId="389E9485">
      <w:pPr>
        <w:adjustRightInd w:val="0"/>
        <w:spacing w:line="520" w:lineRule="exact"/>
        <w:ind w:firstLine="600" w:firstLineChars="200"/>
        <w:rPr>
          <w:rFonts w:hint="eastAsia" w:ascii="仿宋" w:hAnsi="仿宋" w:eastAsia="仿宋" w:cs="宋体"/>
          <w:sz w:val="30"/>
          <w:szCs w:val="30"/>
        </w:rPr>
      </w:pPr>
      <w:r>
        <w:rPr>
          <w:rFonts w:hint="eastAsia" w:ascii="仿宋" w:hAnsi="仿宋" w:eastAsia="仿宋" w:cs="宋体"/>
          <w:sz w:val="30"/>
          <w:szCs w:val="30"/>
        </w:rPr>
        <w:t>5.接到中标通知后，工期</w:t>
      </w:r>
      <w:r>
        <w:rPr>
          <w:rFonts w:hint="eastAsia" w:ascii="仿宋" w:hAnsi="仿宋" w:eastAsia="仿宋" w:cs="宋体"/>
          <w:sz w:val="30"/>
          <w:szCs w:val="30"/>
          <w:lang w:val="en-US" w:eastAsia="zh-CN"/>
        </w:rPr>
        <w:t>10</w:t>
      </w:r>
      <w:r>
        <w:rPr>
          <w:rFonts w:hint="eastAsia" w:ascii="仿宋" w:hAnsi="仿宋" w:eastAsia="仿宋" w:cs="宋体"/>
          <w:sz w:val="30"/>
          <w:szCs w:val="30"/>
        </w:rPr>
        <w:t>天完成</w:t>
      </w:r>
      <w:r>
        <w:rPr>
          <w:rFonts w:hint="eastAsia" w:ascii="仿宋" w:hAnsi="仿宋" w:eastAsia="仿宋"/>
          <w:sz w:val="30"/>
          <w:szCs w:val="30"/>
        </w:rPr>
        <w:t>更换</w:t>
      </w:r>
      <w:r>
        <w:rPr>
          <w:rFonts w:hint="eastAsia" w:ascii="仿宋" w:hAnsi="仿宋" w:eastAsia="仿宋" w:cs="宋体"/>
          <w:sz w:val="30"/>
          <w:szCs w:val="30"/>
        </w:rPr>
        <w:t>。</w:t>
      </w:r>
    </w:p>
    <w:p w14:paraId="379AA697">
      <w:pPr>
        <w:adjustRightInd w:val="0"/>
        <w:spacing w:line="520" w:lineRule="exact"/>
        <w:ind w:firstLine="600" w:firstLineChars="200"/>
        <w:rPr>
          <w:rFonts w:hint="eastAsia" w:ascii="仿宋" w:hAnsi="仿宋" w:eastAsia="仿宋" w:cs="宋体"/>
          <w:sz w:val="30"/>
          <w:szCs w:val="30"/>
        </w:rPr>
      </w:pPr>
      <w:r>
        <w:rPr>
          <w:rFonts w:hint="eastAsia" w:ascii="仿宋" w:hAnsi="仿宋" w:eastAsia="仿宋" w:cs="宋体"/>
          <w:sz w:val="30"/>
          <w:szCs w:val="30"/>
        </w:rPr>
        <w:t>6.期间安全责任由中标单位自行负责,发生任何安全事故与招标单位无关。</w:t>
      </w:r>
    </w:p>
    <w:p w14:paraId="6EA0EC09">
      <w:pPr>
        <w:adjustRightInd w:val="0"/>
        <w:spacing w:line="520" w:lineRule="exact"/>
        <w:ind w:firstLine="600" w:firstLineChars="200"/>
        <w:rPr>
          <w:rFonts w:hint="eastAsia" w:ascii="仿宋" w:hAnsi="仿宋" w:eastAsia="仿宋" w:cs="宋体"/>
          <w:sz w:val="30"/>
          <w:szCs w:val="30"/>
        </w:rPr>
      </w:pPr>
      <w:r>
        <w:rPr>
          <w:rFonts w:hint="eastAsia" w:ascii="仿宋" w:hAnsi="仿宋" w:eastAsia="仿宋" w:cs="宋体"/>
          <w:sz w:val="30"/>
          <w:szCs w:val="30"/>
        </w:rPr>
        <w:t>7.如需登高作业，须提供施工人员在有效期内的登高作业证和身份证复印件。</w:t>
      </w:r>
    </w:p>
    <w:p w14:paraId="0393A802">
      <w:pPr>
        <w:adjustRightInd w:val="0"/>
        <w:spacing w:line="520" w:lineRule="exact"/>
        <w:ind w:firstLine="600" w:firstLineChars="200"/>
        <w:rPr>
          <w:rFonts w:hint="eastAsia" w:ascii="仿宋" w:hAnsi="仿宋" w:eastAsia="仿宋" w:cs="宋体"/>
          <w:sz w:val="30"/>
          <w:szCs w:val="30"/>
        </w:rPr>
      </w:pPr>
      <w:r>
        <w:rPr>
          <w:rFonts w:hint="eastAsia" w:ascii="仿宋" w:hAnsi="仿宋" w:eastAsia="仿宋" w:cs="宋体"/>
          <w:sz w:val="30"/>
          <w:szCs w:val="30"/>
        </w:rPr>
        <w:t>8.验收标准：按行业规程验收。</w:t>
      </w:r>
    </w:p>
    <w:p w14:paraId="1135062B">
      <w:pPr>
        <w:adjustRightInd w:val="0"/>
        <w:spacing w:line="520" w:lineRule="exact"/>
        <w:ind w:firstLine="600" w:firstLineChars="200"/>
        <w:jc w:val="left"/>
        <w:rPr>
          <w:rFonts w:hint="eastAsia" w:ascii="仿宋" w:hAnsi="仿宋" w:eastAsia="仿宋" w:cs="宋体"/>
          <w:sz w:val="30"/>
          <w:szCs w:val="30"/>
        </w:rPr>
      </w:pPr>
      <w:r>
        <w:rPr>
          <w:rFonts w:hint="eastAsia" w:ascii="仿宋" w:hAnsi="仿宋" w:eastAsia="仿宋" w:cs="宋体"/>
          <w:sz w:val="30"/>
          <w:szCs w:val="30"/>
        </w:rPr>
        <w:t>9.费用结算：经验收合格，三个月后一次性结算。</w:t>
      </w:r>
    </w:p>
    <w:p w14:paraId="11F53C8B">
      <w:pPr>
        <w:spacing w:line="480" w:lineRule="exact"/>
        <w:ind w:firstLine="602"/>
        <w:jc w:val="left"/>
        <w:rPr>
          <w:rFonts w:hint="eastAsia" w:ascii="仿宋" w:hAnsi="仿宋" w:eastAsia="仿宋"/>
          <w:b/>
          <w:color w:val="000000" w:themeColor="text1"/>
          <w:sz w:val="30"/>
          <w:szCs w:val="30"/>
          <w14:textFill>
            <w14:solidFill>
              <w14:schemeClr w14:val="tx1"/>
            </w14:solidFill>
          </w14:textFill>
        </w:rPr>
      </w:pPr>
      <w:r>
        <w:rPr>
          <w:rFonts w:hint="eastAsia" w:ascii="仿宋" w:hAnsi="仿宋" w:eastAsia="仿宋"/>
          <w:b/>
          <w:sz w:val="30"/>
          <w:szCs w:val="30"/>
        </w:rPr>
        <w:t>二</w:t>
      </w:r>
      <w:r>
        <w:rPr>
          <w:rFonts w:ascii="仿宋" w:hAnsi="仿宋" w:eastAsia="仿宋"/>
          <w:b/>
          <w:sz w:val="30"/>
          <w:szCs w:val="30"/>
        </w:rPr>
        <w:t>、</w:t>
      </w:r>
      <w:r>
        <w:rPr>
          <w:rFonts w:hint="eastAsia" w:ascii="仿宋" w:hAnsi="仿宋" w:eastAsia="仿宋"/>
          <w:b/>
          <w:color w:val="000000" w:themeColor="text1"/>
          <w:sz w:val="30"/>
          <w:szCs w:val="30"/>
          <w14:textFill>
            <w14:solidFill>
              <w14:schemeClr w14:val="tx1"/>
            </w14:solidFill>
          </w14:textFill>
        </w:rPr>
        <w:t>比价方案：</w:t>
      </w:r>
    </w:p>
    <w:p w14:paraId="187FC50E">
      <w:pPr>
        <w:adjustRightInd w:val="0"/>
        <w:spacing w:line="440" w:lineRule="exact"/>
        <w:ind w:firstLine="600" w:firstLineChars="200"/>
        <w:jc w:val="left"/>
        <w:rPr>
          <w:rFonts w:hint="eastAsia" w:ascii="仿宋" w:hAnsi="仿宋" w:eastAsia="仿宋" w:cs="宋体"/>
          <w:sz w:val="30"/>
          <w:szCs w:val="30"/>
        </w:rPr>
      </w:pPr>
      <w:r>
        <w:rPr>
          <w:rFonts w:ascii="仿宋" w:hAnsi="仿宋" w:eastAsia="仿宋" w:cs="宋体"/>
          <w:sz w:val="30"/>
          <w:szCs w:val="30"/>
        </w:rPr>
        <w:t>采用现场比价排序方式，</w:t>
      </w:r>
      <w:r>
        <w:rPr>
          <w:rFonts w:hint="eastAsia" w:ascii="仿宋" w:hAnsi="仿宋" w:eastAsia="仿宋" w:cs="宋体"/>
          <w:sz w:val="30"/>
          <w:szCs w:val="30"/>
        </w:rPr>
        <w:t>一轮报价，</w:t>
      </w:r>
      <w:r>
        <w:rPr>
          <w:rFonts w:ascii="仿宋" w:hAnsi="仿宋" w:eastAsia="仿宋" w:cs="宋体"/>
          <w:sz w:val="30"/>
          <w:szCs w:val="30"/>
        </w:rPr>
        <w:t>各报价单位须提准备好营业执照、品牌授权（如有需提供）、项目报价（一次性报价），</w:t>
      </w:r>
      <w:r>
        <w:rPr>
          <w:rFonts w:ascii="仿宋" w:hAnsi="仿宋" w:eastAsia="仿宋" w:cs="仿宋"/>
          <w:sz w:val="30"/>
          <w:szCs w:val="30"/>
        </w:rPr>
        <w:t>如投标人</w:t>
      </w:r>
      <w:r>
        <w:rPr>
          <w:rFonts w:hint="eastAsia" w:ascii="仿宋" w:hAnsi="仿宋" w:eastAsia="仿宋" w:cs="仿宋"/>
          <w:sz w:val="30"/>
          <w:szCs w:val="30"/>
        </w:rPr>
        <w:t>不是</w:t>
      </w:r>
      <w:r>
        <w:rPr>
          <w:rFonts w:ascii="仿宋" w:hAnsi="仿宋" w:eastAsia="仿宋" w:cs="仿宋"/>
          <w:sz w:val="30"/>
          <w:szCs w:val="30"/>
        </w:rPr>
        <w:t>公司法人需提供授权委托书和投标代理人身份证复印件（授权委托书和身份证复印件均需加盖公章）</w:t>
      </w:r>
      <w:r>
        <w:rPr>
          <w:rFonts w:ascii="仿宋" w:hAnsi="仿宋" w:eastAsia="仿宋" w:cs="宋体"/>
          <w:sz w:val="30"/>
          <w:szCs w:val="30"/>
        </w:rPr>
        <w:t>用文件袋密封包装</w:t>
      </w:r>
      <w:r>
        <w:rPr>
          <w:rFonts w:hint="eastAsia" w:ascii="仿宋" w:hAnsi="仿宋" w:eastAsia="仿宋" w:cs="宋体"/>
          <w:sz w:val="30"/>
          <w:szCs w:val="30"/>
        </w:rPr>
        <w:t>送至</w:t>
      </w:r>
      <w:r>
        <w:rPr>
          <w:rFonts w:ascii="仿宋" w:hAnsi="仿宋" w:eastAsia="仿宋" w:cs="宋体"/>
          <w:sz w:val="30"/>
          <w:szCs w:val="30"/>
        </w:rPr>
        <w:t>指定地点</w:t>
      </w:r>
      <w:r>
        <w:rPr>
          <w:rFonts w:hint="eastAsia" w:ascii="仿宋" w:hAnsi="仿宋" w:eastAsia="仿宋" w:cs="宋体"/>
          <w:sz w:val="30"/>
          <w:szCs w:val="30"/>
        </w:rPr>
        <w:t>。</w:t>
      </w:r>
    </w:p>
    <w:p w14:paraId="064B96A3">
      <w:pPr>
        <w:spacing w:line="480" w:lineRule="exact"/>
        <w:ind w:firstLine="602"/>
        <w:jc w:val="left"/>
        <w:rPr>
          <w:rFonts w:hint="eastAsia" w:ascii="仿宋" w:hAnsi="仿宋" w:eastAsia="仿宋" w:cs="宋体"/>
          <w:b/>
          <w:color w:val="000000" w:themeColor="text1"/>
          <w:sz w:val="30"/>
          <w:szCs w:val="30"/>
          <w14:textFill>
            <w14:solidFill>
              <w14:schemeClr w14:val="tx1"/>
            </w14:solidFill>
          </w14:textFill>
        </w:rPr>
      </w:pPr>
      <w:r>
        <w:rPr>
          <w:rFonts w:hint="eastAsia" w:ascii="仿宋" w:hAnsi="仿宋" w:eastAsia="仿宋" w:cs="宋体"/>
          <w:b/>
          <w:color w:val="000000" w:themeColor="text1"/>
          <w:sz w:val="30"/>
          <w:szCs w:val="30"/>
          <w14:textFill>
            <w14:solidFill>
              <w14:schemeClr w14:val="tx1"/>
            </w14:solidFill>
          </w14:textFill>
        </w:rPr>
        <w:t>三、投标人资质要求：</w:t>
      </w:r>
    </w:p>
    <w:p w14:paraId="2176B683">
      <w:pPr>
        <w:pStyle w:val="4"/>
        <w:shd w:val="clear" w:color="auto" w:fill="FFFFFF"/>
        <w:adjustRightInd w:val="0"/>
        <w:snapToGrid w:val="0"/>
        <w:spacing w:before="0" w:beforeAutospacing="0" w:after="0" w:afterAutospacing="0" w:line="360" w:lineRule="auto"/>
        <w:ind w:left="0"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1.具有独立法人资格，持有效的营业执照并有消防器材经营项目</w:t>
      </w:r>
      <w:r>
        <w:rPr>
          <w:rFonts w:hint="eastAsia" w:ascii="仿宋" w:hAnsi="仿宋" w:eastAsia="仿宋"/>
          <w:color w:val="000000" w:themeColor="text1"/>
          <w:sz w:val="30"/>
          <w:szCs w:val="30"/>
          <w:lang w:eastAsia="zh-CN"/>
          <w14:textFill>
            <w14:solidFill>
              <w14:schemeClr w14:val="tx1"/>
            </w14:solidFill>
          </w14:textFill>
        </w:rPr>
        <w:t>。</w:t>
      </w:r>
      <w:r>
        <w:rPr>
          <w:rFonts w:hint="eastAsia" w:ascii="仿宋" w:hAnsi="仿宋" w:eastAsia="仿宋"/>
          <w:color w:val="000000" w:themeColor="text1"/>
          <w:sz w:val="30"/>
          <w:szCs w:val="30"/>
          <w:lang w:val="en-US" w:eastAsia="zh-CN"/>
          <w14:textFill>
            <w14:solidFill>
              <w14:schemeClr w14:val="tx1"/>
            </w14:solidFill>
          </w14:textFill>
        </w:rPr>
        <w:t>如投标人不是公司法人需提供授权委托书和投标代理人身份证复印件（授权委托书和身份证复印件均需加盖公章）。</w:t>
      </w:r>
    </w:p>
    <w:p w14:paraId="35F03B54">
      <w:pPr>
        <w:pStyle w:val="4"/>
        <w:shd w:val="clear" w:color="auto" w:fill="FFFFFF"/>
        <w:adjustRightInd w:val="0"/>
        <w:snapToGrid w:val="0"/>
        <w:spacing w:before="0" w:beforeAutospacing="0" w:after="0" w:afterAutospacing="0" w:line="520" w:lineRule="exact"/>
        <w:ind w:left="0"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2.具有</w:t>
      </w:r>
      <w:r>
        <w:rPr>
          <w:rFonts w:hint="eastAsia" w:ascii="仿宋" w:hAnsi="仿宋" w:eastAsia="仿宋"/>
          <w:color w:val="000000" w:themeColor="text1"/>
          <w:sz w:val="32"/>
          <w14:textFill>
            <w14:solidFill>
              <w14:schemeClr w14:val="tx1"/>
            </w14:solidFill>
          </w14:textFill>
        </w:rPr>
        <w:t>消防维保检测资质或消防设施工程专业承包贰级及以上资质。</w:t>
      </w:r>
    </w:p>
    <w:p w14:paraId="1CBD3AA0">
      <w:pPr>
        <w:pStyle w:val="4"/>
        <w:shd w:val="clear" w:color="auto" w:fill="FFFFFF"/>
        <w:adjustRightInd w:val="0"/>
        <w:snapToGrid w:val="0"/>
        <w:spacing w:before="0" w:beforeAutospacing="0" w:after="0" w:afterAutospacing="0" w:line="520" w:lineRule="exact"/>
        <w:ind w:left="0"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3.法律、行政法规规定的其他条件。</w:t>
      </w:r>
    </w:p>
    <w:p w14:paraId="6371B873">
      <w:pPr>
        <w:pStyle w:val="4"/>
        <w:shd w:val="clear" w:color="auto" w:fill="FFFFFF"/>
        <w:adjustRightInd w:val="0"/>
        <w:snapToGrid w:val="0"/>
        <w:spacing w:before="0" w:beforeAutospacing="0" w:after="0" w:afterAutospacing="0" w:line="520" w:lineRule="exact"/>
        <w:ind w:left="0"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4.本项目不接受联合体投标，不得转包、分包。</w:t>
      </w:r>
    </w:p>
    <w:p w14:paraId="266468FB">
      <w:pPr>
        <w:adjustRightInd w:val="0"/>
        <w:spacing w:line="520" w:lineRule="exact"/>
        <w:ind w:firstLine="600" w:firstLineChars="200"/>
        <w:jc w:val="left"/>
        <w:rPr>
          <w:rFonts w:hint="eastAsia"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5、因消防设施的特殊性，</w:t>
      </w:r>
      <w:r>
        <w:rPr>
          <w:rFonts w:hint="eastAsia" w:ascii="仿宋" w:hAnsi="仿宋" w:eastAsia="仿宋" w:cs="宋体"/>
          <w:sz w:val="30"/>
          <w:szCs w:val="30"/>
        </w:rPr>
        <w:t>质保期内出现故障，在规定时间1小时内到达现场维修或更换，并在3小时内消除故障，并且中标方上门维修服务无次数限制。因产品或安装质量问题造成的消防安全隐患及相关损失（消防部门检查存在问题），由中标单位负全部责任（提供承诺书并加盖公章）。</w:t>
      </w:r>
    </w:p>
    <w:p w14:paraId="23842D30">
      <w:pPr>
        <w:pStyle w:val="4"/>
        <w:shd w:val="clear" w:color="auto" w:fill="FFFFFF"/>
        <w:adjustRightInd w:val="0"/>
        <w:snapToGrid w:val="0"/>
        <w:spacing w:before="0" w:beforeAutospacing="0" w:after="0" w:afterAutospacing="0" w:line="520" w:lineRule="exact"/>
        <w:ind w:left="0" w:firstLine="602"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四、资格审查方式及特殊情况说明：</w:t>
      </w:r>
    </w:p>
    <w:p w14:paraId="50300EF2">
      <w:pPr>
        <w:adjustRightInd w:val="0"/>
        <w:spacing w:line="520" w:lineRule="exact"/>
        <w:ind w:firstLine="600" w:firstLineChars="20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本次采用资格后审方式。</w:t>
      </w:r>
    </w:p>
    <w:p w14:paraId="27AD4930">
      <w:pPr>
        <w:pStyle w:val="4"/>
        <w:shd w:val="clear" w:color="auto" w:fill="FFFFFF"/>
        <w:adjustRightInd w:val="0"/>
        <w:spacing w:before="0" w:beforeAutospacing="0" w:after="0" w:afterAutospacing="0" w:line="520" w:lineRule="exact"/>
        <w:ind w:left="0" w:firstLine="600" w:firstLineChars="200"/>
        <w:jc w:val="both"/>
        <w:rPr>
          <w:rFonts w:hint="eastAsia" w:ascii="仿宋" w:hAnsi="仿宋" w:eastAsia="仿宋"/>
          <w:sz w:val="30"/>
          <w:szCs w:val="30"/>
        </w:rPr>
      </w:pPr>
      <w:r>
        <w:rPr>
          <w:rFonts w:hint="eastAsia" w:ascii="仿宋" w:hAnsi="仿宋" w:eastAsia="仿宋"/>
          <w:sz w:val="30"/>
          <w:szCs w:val="30"/>
        </w:rPr>
        <w:t>1.满足询价文件实质性要求的单位数量达3家及以上的，公开询价采购，由最低报价的投标单位中标。若最低报价的投标单位有两家及以上，则现场采用二次报价方式，确定中标单位；</w:t>
      </w:r>
    </w:p>
    <w:p w14:paraId="04DAD63D">
      <w:pPr>
        <w:pStyle w:val="4"/>
        <w:shd w:val="clear" w:color="auto" w:fill="FFFFFF"/>
        <w:adjustRightInd w:val="0"/>
        <w:spacing w:before="0" w:beforeAutospacing="0" w:after="0" w:afterAutospacing="0" w:line="520" w:lineRule="exact"/>
        <w:ind w:left="0" w:firstLine="600" w:firstLineChars="200"/>
        <w:jc w:val="both"/>
        <w:rPr>
          <w:rFonts w:hint="eastAsia" w:ascii="仿宋" w:hAnsi="仿宋" w:eastAsia="仿宋"/>
          <w:sz w:val="30"/>
          <w:szCs w:val="30"/>
        </w:rPr>
      </w:pPr>
      <w:r>
        <w:rPr>
          <w:rFonts w:hint="eastAsia" w:ascii="仿宋" w:hAnsi="仿宋" w:eastAsia="仿宋"/>
          <w:sz w:val="30"/>
          <w:szCs w:val="30"/>
        </w:rPr>
        <w:t>2.满足比价文件实质性要求的单位数量仅有2家的，则现场转变采购方式，采用竞争性谈判的采购方式，确定中标单位；</w:t>
      </w:r>
    </w:p>
    <w:p w14:paraId="66C58364">
      <w:pPr>
        <w:spacing w:line="480" w:lineRule="exact"/>
        <w:ind w:firstLine="602"/>
        <w:jc w:val="left"/>
        <w:rPr>
          <w:rFonts w:hint="eastAsia" w:ascii="仿宋" w:hAnsi="仿宋" w:eastAsia="仿宋"/>
          <w:sz w:val="30"/>
          <w:szCs w:val="30"/>
        </w:rPr>
      </w:pPr>
      <w:r>
        <w:rPr>
          <w:rFonts w:hint="eastAsia" w:ascii="仿宋" w:hAnsi="仿宋" w:eastAsia="仿宋"/>
          <w:sz w:val="30"/>
          <w:szCs w:val="30"/>
        </w:rPr>
        <w:t>3.满足比价文件实质性要求的单位数量仅有1家的，则现场转变采购方式，采用单一来源谈判的采购方式，确定中标单位。</w:t>
      </w:r>
    </w:p>
    <w:p w14:paraId="66B1FD06">
      <w:pPr>
        <w:spacing w:line="480" w:lineRule="exact"/>
        <w:ind w:firstLine="602"/>
        <w:jc w:val="left"/>
        <w:rPr>
          <w:rFonts w:hint="eastAsia" w:ascii="仿宋" w:hAnsi="仿宋" w:eastAsia="仿宋" w:cs="仿宋"/>
          <w:sz w:val="30"/>
          <w:szCs w:val="30"/>
        </w:rPr>
      </w:pPr>
      <w:r>
        <w:rPr>
          <w:rFonts w:hint="eastAsia" w:ascii="仿宋" w:hAnsi="仿宋" w:eastAsia="仿宋" w:cs="仿宋"/>
          <w:b/>
          <w:color w:val="000000" w:themeColor="text1"/>
          <w:sz w:val="30"/>
          <w:szCs w:val="30"/>
          <w14:textFill>
            <w14:solidFill>
              <w14:schemeClr w14:val="tx1"/>
            </w14:solidFill>
          </w14:textFill>
        </w:rPr>
        <w:t>五</w:t>
      </w:r>
      <w:bookmarkStart w:id="4" w:name="OLE_LINK7"/>
      <w:r>
        <w:rPr>
          <w:rFonts w:hint="eastAsia" w:ascii="仿宋" w:hAnsi="仿宋" w:eastAsia="仿宋" w:cs="仿宋"/>
          <w:b/>
          <w:color w:val="000000" w:themeColor="text1"/>
          <w:sz w:val="30"/>
          <w:szCs w:val="30"/>
          <w14:textFill>
            <w14:solidFill>
              <w14:schemeClr w14:val="tx1"/>
            </w14:solidFill>
          </w14:textFill>
        </w:rPr>
        <w:t>、项目控制价为</w:t>
      </w:r>
      <w:r>
        <w:rPr>
          <w:rFonts w:hint="eastAsia" w:ascii="仿宋" w:hAnsi="仿宋" w:eastAsia="仿宋" w:cs="仿宋"/>
          <w:b/>
          <w:color w:val="000000" w:themeColor="text1"/>
          <w:sz w:val="30"/>
          <w:szCs w:val="30"/>
          <w:lang w:val="en-US" w:eastAsia="zh-CN"/>
          <w14:textFill>
            <w14:solidFill>
              <w14:schemeClr w14:val="tx1"/>
            </w14:solidFill>
          </w14:textFill>
        </w:rPr>
        <w:t>20</w:t>
      </w:r>
      <w:r>
        <w:rPr>
          <w:rFonts w:hint="eastAsia" w:ascii="仿宋" w:hAnsi="仿宋" w:eastAsia="仿宋" w:cs="仿宋"/>
          <w:b/>
          <w:color w:val="000000" w:themeColor="text1"/>
          <w:sz w:val="30"/>
          <w:szCs w:val="30"/>
          <w14:textFill>
            <w14:solidFill>
              <w14:schemeClr w14:val="tx1"/>
            </w14:solidFill>
          </w14:textFill>
        </w:rPr>
        <w:t>000元，报价不得高于控制价</w:t>
      </w:r>
      <w:bookmarkEnd w:id="4"/>
      <w:r>
        <w:rPr>
          <w:rFonts w:hint="eastAsia" w:ascii="仿宋" w:hAnsi="仿宋" w:eastAsia="仿宋" w:cs="仿宋"/>
          <w:b/>
          <w:color w:val="000000" w:themeColor="text1"/>
          <w:sz w:val="30"/>
          <w:szCs w:val="30"/>
          <w14:textFill>
            <w14:solidFill>
              <w14:schemeClr w14:val="tx1"/>
            </w14:solidFill>
          </w14:textFill>
        </w:rPr>
        <w:t>。</w:t>
      </w:r>
    </w:p>
    <w:p w14:paraId="34F46209">
      <w:pPr>
        <w:spacing w:line="480" w:lineRule="exact"/>
        <w:jc w:val="left"/>
        <w:rPr>
          <w:rFonts w:hint="eastAsia" w:ascii="仿宋" w:hAnsi="仿宋" w:eastAsia="仿宋" w:cs="仿宋"/>
          <w:color w:val="000000" w:themeColor="text1"/>
          <w:sz w:val="30"/>
          <w:szCs w:val="30"/>
          <w14:textFill>
            <w14:solidFill>
              <w14:schemeClr w14:val="tx1"/>
            </w14:solidFill>
          </w14:textFill>
        </w:rPr>
      </w:pPr>
    </w:p>
    <w:p w14:paraId="06F2B9F6">
      <w:pPr>
        <w:spacing w:line="480" w:lineRule="exact"/>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附：报价清单</w:t>
      </w:r>
    </w:p>
    <w:tbl>
      <w:tblPr>
        <w:tblStyle w:val="5"/>
        <w:tblpPr w:leftFromText="180" w:rightFromText="180" w:vertAnchor="text" w:horzAnchor="page" w:tblpX="1394" w:tblpY="159"/>
        <w:tblW w:w="9796" w:type="dxa"/>
        <w:tblInd w:w="0" w:type="dxa"/>
        <w:tblLayout w:type="autofit"/>
        <w:tblCellMar>
          <w:top w:w="0" w:type="dxa"/>
          <w:left w:w="108" w:type="dxa"/>
          <w:bottom w:w="0" w:type="dxa"/>
          <w:right w:w="108" w:type="dxa"/>
        </w:tblCellMar>
      </w:tblPr>
      <w:tblGrid>
        <w:gridCol w:w="776"/>
        <w:gridCol w:w="2020"/>
        <w:gridCol w:w="1560"/>
        <w:gridCol w:w="680"/>
        <w:gridCol w:w="760"/>
        <w:gridCol w:w="1340"/>
        <w:gridCol w:w="1320"/>
        <w:gridCol w:w="1340"/>
      </w:tblGrid>
      <w:tr w14:paraId="6AEE24F4">
        <w:tblPrEx>
          <w:tblCellMar>
            <w:top w:w="0" w:type="dxa"/>
            <w:left w:w="108" w:type="dxa"/>
            <w:bottom w:w="0" w:type="dxa"/>
            <w:right w:w="108" w:type="dxa"/>
          </w:tblCellMar>
        </w:tblPrEx>
        <w:trPr>
          <w:trHeight w:val="896" w:hRule="atLeast"/>
        </w:trPr>
        <w:tc>
          <w:tcPr>
            <w:tcW w:w="9796" w:type="dxa"/>
            <w:gridSpan w:val="8"/>
            <w:tcBorders>
              <w:top w:val="nil"/>
              <w:left w:val="nil"/>
              <w:bottom w:val="nil"/>
              <w:right w:val="nil"/>
            </w:tcBorders>
            <w:shd w:val="clear" w:color="auto" w:fill="auto"/>
            <w:vAlign w:val="center"/>
          </w:tcPr>
          <w:p w14:paraId="33AB656D">
            <w:pPr>
              <w:widowControl/>
              <w:jc w:val="center"/>
              <w:rPr>
                <w:rFonts w:hint="eastAsia" w:ascii="仿宋" w:hAnsi="仿宋" w:eastAsia="仿宋" w:cs="仿宋"/>
                <w:color w:val="000000"/>
                <w:szCs w:val="21"/>
              </w:rPr>
            </w:pPr>
            <w:r>
              <w:rPr>
                <w:rFonts w:hint="eastAsia" w:ascii="仿宋" w:hAnsi="仿宋" w:eastAsia="仿宋" w:cs="仿宋"/>
                <w:color w:val="000000"/>
                <w:szCs w:val="21"/>
              </w:rPr>
              <w:br w:type="textWrapping"/>
            </w:r>
            <w:r>
              <w:rPr>
                <w:rFonts w:hint="eastAsia" w:ascii="仿宋" w:hAnsi="仿宋" w:eastAsia="仿宋"/>
                <w:color w:val="000000" w:themeColor="text1"/>
                <w:sz w:val="30"/>
                <w:szCs w:val="30"/>
                <w:lang w:val="en-US" w:eastAsia="zh-CN"/>
                <w14:textFill>
                  <w14:solidFill>
                    <w14:schemeClr w14:val="tx1"/>
                  </w14:solidFill>
                </w14:textFill>
              </w:rPr>
              <w:t>母婴楼3楼产房手术室消防系统改造</w:t>
            </w:r>
            <w:r>
              <w:rPr>
                <w:rFonts w:hint="eastAsia" w:ascii="仿宋" w:hAnsi="仿宋" w:eastAsia="仿宋" w:cs="仿宋"/>
                <w:color w:val="000000" w:themeColor="text1"/>
                <w:sz w:val="28"/>
                <w:szCs w:val="28"/>
                <w14:textFill>
                  <w14:solidFill>
                    <w14:schemeClr w14:val="tx1"/>
                  </w14:solidFill>
                </w14:textFill>
              </w:rPr>
              <w:t>项目报价清单</w:t>
            </w:r>
          </w:p>
        </w:tc>
      </w:tr>
      <w:tr w14:paraId="00DA4E23">
        <w:tblPrEx>
          <w:tblCellMar>
            <w:top w:w="0" w:type="dxa"/>
            <w:left w:w="108" w:type="dxa"/>
            <w:bottom w:w="0" w:type="dxa"/>
            <w:right w:w="108" w:type="dxa"/>
          </w:tblCellMar>
        </w:tblPrEx>
        <w:trPr>
          <w:trHeight w:val="424" w:hRule="atLeast"/>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103BB92A">
            <w:pPr>
              <w:widowControl/>
              <w:jc w:val="center"/>
              <w:rPr>
                <w:rFonts w:hint="eastAsia" w:ascii="仿宋" w:hAnsi="仿宋" w:eastAsia="仿宋" w:cs="仿宋"/>
                <w:color w:val="000000"/>
                <w:szCs w:val="21"/>
              </w:rPr>
            </w:pPr>
            <w:r>
              <w:rPr>
                <w:rFonts w:hint="eastAsia" w:ascii="仿宋" w:hAnsi="仿宋" w:eastAsia="仿宋" w:cs="仿宋"/>
                <w:color w:val="000000"/>
                <w:szCs w:val="21"/>
              </w:rPr>
              <w:t>序号</w:t>
            </w:r>
          </w:p>
        </w:tc>
        <w:tc>
          <w:tcPr>
            <w:tcW w:w="2020" w:type="dxa"/>
            <w:tcBorders>
              <w:top w:val="single" w:color="auto" w:sz="4" w:space="0"/>
              <w:left w:val="nil"/>
              <w:bottom w:val="single" w:color="auto" w:sz="4" w:space="0"/>
              <w:right w:val="single" w:color="auto" w:sz="4" w:space="0"/>
            </w:tcBorders>
            <w:shd w:val="clear" w:color="auto" w:fill="auto"/>
            <w:vAlign w:val="center"/>
          </w:tcPr>
          <w:p w14:paraId="2540AA56">
            <w:pPr>
              <w:widowControl/>
              <w:jc w:val="center"/>
              <w:rPr>
                <w:rFonts w:hint="eastAsia" w:ascii="仿宋" w:hAnsi="仿宋" w:eastAsia="仿宋" w:cs="仿宋"/>
                <w:color w:val="000000"/>
                <w:szCs w:val="21"/>
              </w:rPr>
            </w:pPr>
            <w:r>
              <w:rPr>
                <w:rFonts w:hint="eastAsia" w:ascii="仿宋" w:hAnsi="仿宋" w:eastAsia="仿宋" w:cs="仿宋"/>
                <w:color w:val="000000"/>
                <w:szCs w:val="21"/>
              </w:rPr>
              <w:t>项目名称</w:t>
            </w:r>
          </w:p>
        </w:tc>
        <w:tc>
          <w:tcPr>
            <w:tcW w:w="1560" w:type="dxa"/>
            <w:tcBorders>
              <w:top w:val="single" w:color="auto" w:sz="4" w:space="0"/>
              <w:left w:val="nil"/>
              <w:bottom w:val="single" w:color="auto" w:sz="4" w:space="0"/>
              <w:right w:val="single" w:color="auto" w:sz="4" w:space="0"/>
            </w:tcBorders>
            <w:shd w:val="clear" w:color="auto" w:fill="auto"/>
            <w:vAlign w:val="center"/>
          </w:tcPr>
          <w:p w14:paraId="14E560A4">
            <w:pPr>
              <w:widowControl/>
              <w:jc w:val="center"/>
              <w:rPr>
                <w:rFonts w:hint="eastAsia" w:ascii="仿宋" w:hAnsi="仿宋" w:eastAsia="仿宋" w:cs="仿宋"/>
                <w:color w:val="000000"/>
                <w:szCs w:val="21"/>
              </w:rPr>
            </w:pPr>
            <w:r>
              <w:rPr>
                <w:rFonts w:hint="eastAsia" w:ascii="仿宋" w:hAnsi="仿宋" w:eastAsia="仿宋" w:cs="仿宋"/>
                <w:color w:val="000000"/>
                <w:szCs w:val="21"/>
              </w:rPr>
              <w:t>规格型号</w:t>
            </w:r>
          </w:p>
        </w:tc>
        <w:tc>
          <w:tcPr>
            <w:tcW w:w="680" w:type="dxa"/>
            <w:tcBorders>
              <w:top w:val="single" w:color="auto" w:sz="4" w:space="0"/>
              <w:left w:val="nil"/>
              <w:bottom w:val="single" w:color="auto" w:sz="4" w:space="0"/>
              <w:right w:val="single" w:color="auto" w:sz="4" w:space="0"/>
            </w:tcBorders>
            <w:shd w:val="clear" w:color="auto" w:fill="auto"/>
            <w:vAlign w:val="center"/>
          </w:tcPr>
          <w:p w14:paraId="7896D752">
            <w:pPr>
              <w:widowControl/>
              <w:jc w:val="center"/>
              <w:rPr>
                <w:rFonts w:hint="eastAsia" w:ascii="仿宋" w:hAnsi="仿宋" w:eastAsia="仿宋" w:cs="仿宋"/>
                <w:color w:val="000000"/>
                <w:szCs w:val="21"/>
              </w:rPr>
            </w:pPr>
            <w:r>
              <w:rPr>
                <w:rFonts w:hint="eastAsia" w:ascii="仿宋" w:hAnsi="仿宋" w:eastAsia="仿宋" w:cs="仿宋"/>
                <w:color w:val="000000"/>
                <w:szCs w:val="21"/>
              </w:rPr>
              <w:t>单位</w:t>
            </w:r>
          </w:p>
        </w:tc>
        <w:tc>
          <w:tcPr>
            <w:tcW w:w="760" w:type="dxa"/>
            <w:tcBorders>
              <w:top w:val="single" w:color="auto" w:sz="4" w:space="0"/>
              <w:left w:val="nil"/>
              <w:bottom w:val="single" w:color="auto" w:sz="4" w:space="0"/>
              <w:right w:val="single" w:color="auto" w:sz="4" w:space="0"/>
            </w:tcBorders>
            <w:shd w:val="clear" w:color="auto" w:fill="auto"/>
            <w:vAlign w:val="center"/>
          </w:tcPr>
          <w:p w14:paraId="0E150181">
            <w:pPr>
              <w:widowControl/>
              <w:jc w:val="center"/>
              <w:rPr>
                <w:rFonts w:hint="eastAsia" w:ascii="仿宋" w:hAnsi="仿宋" w:eastAsia="仿宋" w:cs="仿宋"/>
                <w:color w:val="000000"/>
                <w:szCs w:val="21"/>
              </w:rPr>
            </w:pPr>
            <w:r>
              <w:rPr>
                <w:rFonts w:hint="eastAsia" w:ascii="仿宋" w:hAnsi="仿宋" w:eastAsia="仿宋" w:cs="仿宋"/>
                <w:color w:val="000000"/>
                <w:szCs w:val="21"/>
              </w:rPr>
              <w:t>数量</w:t>
            </w:r>
          </w:p>
        </w:tc>
        <w:tc>
          <w:tcPr>
            <w:tcW w:w="1340" w:type="dxa"/>
            <w:tcBorders>
              <w:top w:val="single" w:color="auto" w:sz="4" w:space="0"/>
              <w:left w:val="nil"/>
              <w:bottom w:val="single" w:color="auto" w:sz="4" w:space="0"/>
              <w:right w:val="single" w:color="auto" w:sz="4" w:space="0"/>
            </w:tcBorders>
            <w:shd w:val="clear" w:color="auto" w:fill="auto"/>
            <w:vAlign w:val="center"/>
          </w:tcPr>
          <w:p w14:paraId="05D05814">
            <w:pPr>
              <w:widowControl/>
              <w:jc w:val="center"/>
              <w:rPr>
                <w:rFonts w:hint="eastAsia" w:ascii="仿宋" w:hAnsi="仿宋" w:eastAsia="仿宋" w:cs="仿宋"/>
                <w:color w:val="000000"/>
                <w:szCs w:val="21"/>
              </w:rPr>
            </w:pPr>
            <w:r>
              <w:rPr>
                <w:rFonts w:hint="eastAsia" w:ascii="仿宋" w:hAnsi="仿宋" w:eastAsia="仿宋" w:cs="仿宋"/>
                <w:color w:val="000000"/>
                <w:szCs w:val="21"/>
              </w:rPr>
              <w:t xml:space="preserve"> 单价（元） </w:t>
            </w:r>
          </w:p>
        </w:tc>
        <w:tc>
          <w:tcPr>
            <w:tcW w:w="1320" w:type="dxa"/>
            <w:tcBorders>
              <w:top w:val="single" w:color="auto" w:sz="4" w:space="0"/>
              <w:left w:val="nil"/>
              <w:bottom w:val="single" w:color="auto" w:sz="4" w:space="0"/>
              <w:right w:val="single" w:color="auto" w:sz="4" w:space="0"/>
            </w:tcBorders>
            <w:shd w:val="clear" w:color="auto" w:fill="auto"/>
            <w:vAlign w:val="center"/>
          </w:tcPr>
          <w:p w14:paraId="6D25BE8C">
            <w:pPr>
              <w:widowControl/>
              <w:jc w:val="center"/>
              <w:rPr>
                <w:rFonts w:hint="eastAsia" w:ascii="仿宋" w:hAnsi="仿宋" w:eastAsia="仿宋" w:cs="仿宋"/>
                <w:color w:val="000000"/>
                <w:szCs w:val="21"/>
              </w:rPr>
            </w:pPr>
            <w:r>
              <w:rPr>
                <w:rFonts w:hint="eastAsia" w:ascii="仿宋" w:hAnsi="仿宋" w:eastAsia="仿宋" w:cs="仿宋"/>
                <w:color w:val="000000"/>
                <w:szCs w:val="21"/>
              </w:rPr>
              <w:t xml:space="preserve"> 合计（元） </w:t>
            </w:r>
          </w:p>
        </w:tc>
        <w:tc>
          <w:tcPr>
            <w:tcW w:w="1340" w:type="dxa"/>
            <w:tcBorders>
              <w:top w:val="single" w:color="auto" w:sz="4" w:space="0"/>
              <w:left w:val="nil"/>
              <w:bottom w:val="single" w:color="auto" w:sz="4" w:space="0"/>
              <w:right w:val="single" w:color="auto" w:sz="4" w:space="0"/>
            </w:tcBorders>
            <w:shd w:val="clear" w:color="auto" w:fill="auto"/>
            <w:vAlign w:val="center"/>
          </w:tcPr>
          <w:p w14:paraId="5DB4D31F">
            <w:pPr>
              <w:widowControl/>
              <w:jc w:val="center"/>
              <w:rPr>
                <w:rFonts w:hint="eastAsia" w:ascii="仿宋" w:hAnsi="仿宋" w:eastAsia="仿宋" w:cs="仿宋"/>
                <w:color w:val="000000"/>
                <w:szCs w:val="21"/>
              </w:rPr>
            </w:pPr>
            <w:r>
              <w:rPr>
                <w:rFonts w:hint="eastAsia" w:ascii="仿宋" w:hAnsi="仿宋" w:eastAsia="仿宋" w:cs="仿宋"/>
                <w:color w:val="000000"/>
                <w:szCs w:val="21"/>
              </w:rPr>
              <w:t>备注</w:t>
            </w:r>
          </w:p>
        </w:tc>
      </w:tr>
      <w:tr w14:paraId="3B6899B0">
        <w:tblPrEx>
          <w:tblCellMar>
            <w:top w:w="0" w:type="dxa"/>
            <w:left w:w="108" w:type="dxa"/>
            <w:bottom w:w="0" w:type="dxa"/>
            <w:right w:w="108" w:type="dxa"/>
          </w:tblCellMar>
        </w:tblPrEx>
        <w:trPr>
          <w:trHeight w:val="472" w:hRule="atLeast"/>
        </w:trPr>
        <w:tc>
          <w:tcPr>
            <w:tcW w:w="776" w:type="dxa"/>
            <w:tcBorders>
              <w:top w:val="nil"/>
              <w:left w:val="single" w:color="auto" w:sz="4" w:space="0"/>
              <w:bottom w:val="single" w:color="auto" w:sz="4" w:space="0"/>
              <w:right w:val="single" w:color="auto" w:sz="4" w:space="0"/>
            </w:tcBorders>
            <w:shd w:val="clear" w:color="auto" w:fill="auto"/>
            <w:vAlign w:val="center"/>
          </w:tcPr>
          <w:p w14:paraId="7D3ED908">
            <w:pPr>
              <w:widowControl/>
              <w:jc w:val="center"/>
              <w:rPr>
                <w:rFonts w:hint="eastAsia" w:ascii="仿宋" w:hAnsi="仿宋" w:eastAsia="仿宋" w:cs="仿宋"/>
                <w:color w:val="000000"/>
                <w:szCs w:val="21"/>
              </w:rPr>
            </w:pPr>
            <w:r>
              <w:rPr>
                <w:rFonts w:hint="eastAsia" w:ascii="仿宋" w:hAnsi="仿宋" w:eastAsia="仿宋" w:cs="仿宋"/>
                <w:color w:val="000000"/>
                <w:szCs w:val="21"/>
              </w:rPr>
              <w:t>1</w:t>
            </w:r>
          </w:p>
        </w:tc>
        <w:tc>
          <w:tcPr>
            <w:tcW w:w="2020" w:type="dxa"/>
            <w:tcBorders>
              <w:top w:val="nil"/>
              <w:left w:val="nil"/>
              <w:bottom w:val="single" w:color="auto" w:sz="4" w:space="0"/>
              <w:right w:val="single" w:color="auto" w:sz="4" w:space="0"/>
            </w:tcBorders>
            <w:shd w:val="clear" w:color="auto" w:fill="auto"/>
            <w:vAlign w:val="center"/>
          </w:tcPr>
          <w:p w14:paraId="3E0CD210">
            <w:pPr>
              <w:widowControl/>
              <w:jc w:val="center"/>
              <w:rPr>
                <w:rFonts w:hint="eastAsia" w:ascii="仿宋" w:hAnsi="仿宋" w:eastAsia="仿宋" w:cs="仿宋"/>
                <w:color w:val="000000"/>
                <w:szCs w:val="21"/>
              </w:rPr>
            </w:pPr>
            <w:r>
              <w:rPr>
                <w:rFonts w:hint="eastAsia" w:ascii="仿宋" w:hAnsi="仿宋" w:eastAsia="仿宋" w:cs="仿宋"/>
                <w:color w:val="000000"/>
                <w:szCs w:val="21"/>
              </w:rPr>
              <w:t>喷淋头改造</w:t>
            </w:r>
          </w:p>
        </w:tc>
        <w:tc>
          <w:tcPr>
            <w:tcW w:w="1560" w:type="dxa"/>
            <w:tcBorders>
              <w:top w:val="nil"/>
              <w:left w:val="nil"/>
              <w:bottom w:val="single" w:color="auto" w:sz="4" w:space="0"/>
              <w:right w:val="single" w:color="auto" w:sz="4" w:space="0"/>
            </w:tcBorders>
            <w:shd w:val="clear" w:color="auto" w:fill="auto"/>
            <w:vAlign w:val="center"/>
          </w:tcPr>
          <w:p w14:paraId="2F3943E4">
            <w:pPr>
              <w:widowControl/>
              <w:jc w:val="center"/>
              <w:rPr>
                <w:rFonts w:hint="eastAsia" w:ascii="仿宋" w:hAnsi="仿宋" w:eastAsia="仿宋" w:cs="仿宋"/>
                <w:color w:val="000000"/>
                <w:szCs w:val="21"/>
              </w:rPr>
            </w:pPr>
          </w:p>
        </w:tc>
        <w:tc>
          <w:tcPr>
            <w:tcW w:w="680" w:type="dxa"/>
            <w:tcBorders>
              <w:top w:val="nil"/>
              <w:left w:val="nil"/>
              <w:bottom w:val="single" w:color="auto" w:sz="4" w:space="0"/>
              <w:right w:val="single" w:color="auto" w:sz="4" w:space="0"/>
            </w:tcBorders>
            <w:shd w:val="clear" w:color="auto" w:fill="auto"/>
            <w:vAlign w:val="center"/>
          </w:tcPr>
          <w:p w14:paraId="6E0B1597">
            <w:pPr>
              <w:widowControl/>
              <w:jc w:val="center"/>
              <w:rPr>
                <w:rFonts w:hint="eastAsia" w:ascii="仿宋" w:hAnsi="仿宋" w:eastAsia="仿宋" w:cs="仿宋"/>
                <w:color w:val="000000"/>
                <w:szCs w:val="21"/>
                <w:lang w:eastAsia="zh-CN"/>
              </w:rPr>
            </w:pPr>
            <w:r>
              <w:rPr>
                <w:rFonts w:hint="eastAsia" w:ascii="仿宋" w:hAnsi="仿宋" w:eastAsia="仿宋" w:cs="仿宋"/>
                <w:color w:val="000000"/>
                <w:szCs w:val="21"/>
                <w:lang w:val="en-US" w:eastAsia="zh-CN"/>
              </w:rPr>
              <w:t>只</w:t>
            </w:r>
          </w:p>
        </w:tc>
        <w:tc>
          <w:tcPr>
            <w:tcW w:w="760" w:type="dxa"/>
            <w:tcBorders>
              <w:top w:val="nil"/>
              <w:left w:val="nil"/>
              <w:bottom w:val="single" w:color="auto" w:sz="4" w:space="0"/>
              <w:right w:val="single" w:color="auto" w:sz="4" w:space="0"/>
            </w:tcBorders>
            <w:shd w:val="clear" w:color="auto" w:fill="auto"/>
            <w:vAlign w:val="center"/>
          </w:tcPr>
          <w:p w14:paraId="1EFDFB48">
            <w:pPr>
              <w:widowControl/>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27</w:t>
            </w:r>
          </w:p>
        </w:tc>
        <w:tc>
          <w:tcPr>
            <w:tcW w:w="1340" w:type="dxa"/>
            <w:tcBorders>
              <w:top w:val="nil"/>
              <w:left w:val="nil"/>
              <w:bottom w:val="single" w:color="auto" w:sz="4" w:space="0"/>
              <w:right w:val="single" w:color="auto" w:sz="4" w:space="0"/>
            </w:tcBorders>
            <w:shd w:val="clear" w:color="auto" w:fill="auto"/>
            <w:vAlign w:val="center"/>
          </w:tcPr>
          <w:p w14:paraId="7A0913F8">
            <w:pPr>
              <w:widowControl/>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 xml:space="preserve"> </w:t>
            </w:r>
          </w:p>
        </w:tc>
        <w:tc>
          <w:tcPr>
            <w:tcW w:w="1320" w:type="dxa"/>
            <w:tcBorders>
              <w:top w:val="nil"/>
              <w:left w:val="nil"/>
              <w:bottom w:val="single" w:color="auto" w:sz="4" w:space="0"/>
              <w:right w:val="single" w:color="auto" w:sz="4" w:space="0"/>
            </w:tcBorders>
            <w:shd w:val="clear" w:color="auto" w:fill="auto"/>
            <w:vAlign w:val="center"/>
          </w:tcPr>
          <w:p w14:paraId="1CC9E67E">
            <w:pPr>
              <w:widowControl/>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 xml:space="preserve"> </w:t>
            </w:r>
          </w:p>
        </w:tc>
        <w:tc>
          <w:tcPr>
            <w:tcW w:w="1340" w:type="dxa"/>
            <w:tcBorders>
              <w:top w:val="nil"/>
              <w:left w:val="nil"/>
              <w:bottom w:val="single" w:color="auto" w:sz="4" w:space="0"/>
              <w:right w:val="single" w:color="auto" w:sz="4" w:space="0"/>
            </w:tcBorders>
            <w:shd w:val="clear" w:color="auto" w:fill="auto"/>
            <w:vAlign w:val="center"/>
          </w:tcPr>
          <w:p w14:paraId="03CE2E1F">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含接头辅材</w:t>
            </w:r>
          </w:p>
        </w:tc>
      </w:tr>
      <w:tr w14:paraId="339D9EE0">
        <w:tblPrEx>
          <w:tblCellMar>
            <w:top w:w="0" w:type="dxa"/>
            <w:left w:w="108" w:type="dxa"/>
            <w:bottom w:w="0" w:type="dxa"/>
            <w:right w:w="108" w:type="dxa"/>
          </w:tblCellMar>
        </w:tblPrEx>
        <w:trPr>
          <w:trHeight w:val="473" w:hRule="atLeast"/>
        </w:trPr>
        <w:tc>
          <w:tcPr>
            <w:tcW w:w="776" w:type="dxa"/>
            <w:tcBorders>
              <w:top w:val="nil"/>
              <w:left w:val="single" w:color="auto" w:sz="4" w:space="0"/>
              <w:bottom w:val="single" w:color="auto" w:sz="4" w:space="0"/>
              <w:right w:val="single" w:color="auto" w:sz="4" w:space="0"/>
            </w:tcBorders>
            <w:shd w:val="clear" w:color="auto" w:fill="auto"/>
            <w:vAlign w:val="center"/>
          </w:tcPr>
          <w:p w14:paraId="6E126C10">
            <w:pPr>
              <w:widowControl/>
              <w:jc w:val="center"/>
              <w:rPr>
                <w:rFonts w:hint="eastAsia" w:ascii="仿宋" w:hAnsi="仿宋" w:eastAsia="仿宋" w:cs="仿宋"/>
                <w:color w:val="000000"/>
                <w:szCs w:val="21"/>
              </w:rPr>
            </w:pPr>
            <w:r>
              <w:rPr>
                <w:rFonts w:hint="eastAsia" w:ascii="仿宋" w:hAnsi="仿宋" w:eastAsia="仿宋" w:cs="仿宋"/>
                <w:color w:val="000000"/>
                <w:szCs w:val="21"/>
              </w:rPr>
              <w:t>2</w:t>
            </w:r>
          </w:p>
        </w:tc>
        <w:tc>
          <w:tcPr>
            <w:tcW w:w="2020" w:type="dxa"/>
            <w:tcBorders>
              <w:top w:val="nil"/>
              <w:left w:val="nil"/>
              <w:bottom w:val="single" w:color="auto" w:sz="4" w:space="0"/>
              <w:right w:val="single" w:color="auto" w:sz="4" w:space="0"/>
            </w:tcBorders>
            <w:shd w:val="clear" w:color="auto" w:fill="auto"/>
            <w:vAlign w:val="center"/>
          </w:tcPr>
          <w:p w14:paraId="263F9D8A">
            <w:pPr>
              <w:widowControl/>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热镀锌钢管</w:t>
            </w:r>
          </w:p>
        </w:tc>
        <w:tc>
          <w:tcPr>
            <w:tcW w:w="1560" w:type="dxa"/>
            <w:tcBorders>
              <w:top w:val="nil"/>
              <w:left w:val="nil"/>
              <w:bottom w:val="single" w:color="auto" w:sz="4" w:space="0"/>
              <w:right w:val="single" w:color="auto" w:sz="4" w:space="0"/>
            </w:tcBorders>
            <w:shd w:val="clear" w:color="auto" w:fill="auto"/>
            <w:vAlign w:val="center"/>
          </w:tcPr>
          <w:p w14:paraId="5542E6F2">
            <w:pPr>
              <w:widowControl/>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DN25</w:t>
            </w:r>
          </w:p>
        </w:tc>
        <w:tc>
          <w:tcPr>
            <w:tcW w:w="680" w:type="dxa"/>
            <w:tcBorders>
              <w:top w:val="nil"/>
              <w:left w:val="nil"/>
              <w:bottom w:val="single" w:color="auto" w:sz="4" w:space="0"/>
              <w:right w:val="single" w:color="auto" w:sz="4" w:space="0"/>
            </w:tcBorders>
            <w:shd w:val="clear" w:color="auto" w:fill="auto"/>
            <w:vAlign w:val="center"/>
          </w:tcPr>
          <w:p w14:paraId="59687B95">
            <w:pPr>
              <w:widowControl/>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米</w:t>
            </w:r>
          </w:p>
        </w:tc>
        <w:tc>
          <w:tcPr>
            <w:tcW w:w="760" w:type="dxa"/>
            <w:tcBorders>
              <w:top w:val="nil"/>
              <w:left w:val="nil"/>
              <w:bottom w:val="single" w:color="auto" w:sz="4" w:space="0"/>
              <w:right w:val="single" w:color="auto" w:sz="4" w:space="0"/>
            </w:tcBorders>
            <w:shd w:val="clear" w:color="auto" w:fill="auto"/>
            <w:vAlign w:val="center"/>
          </w:tcPr>
          <w:p w14:paraId="119E8D29">
            <w:pPr>
              <w:widowControl/>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15</w:t>
            </w:r>
          </w:p>
        </w:tc>
        <w:tc>
          <w:tcPr>
            <w:tcW w:w="1340" w:type="dxa"/>
            <w:tcBorders>
              <w:top w:val="nil"/>
              <w:left w:val="nil"/>
              <w:bottom w:val="single" w:color="auto" w:sz="4" w:space="0"/>
              <w:right w:val="single" w:color="auto" w:sz="4" w:space="0"/>
            </w:tcBorders>
            <w:shd w:val="clear" w:color="auto" w:fill="auto"/>
            <w:vAlign w:val="center"/>
          </w:tcPr>
          <w:p w14:paraId="3AF2DF7C">
            <w:pPr>
              <w:widowControl/>
              <w:jc w:val="center"/>
              <w:rPr>
                <w:rFonts w:hint="default" w:ascii="仿宋" w:hAnsi="仿宋" w:eastAsia="仿宋" w:cs="仿宋"/>
                <w:color w:val="000000"/>
                <w:szCs w:val="21"/>
                <w:lang w:val="en-US" w:eastAsia="zh-CN"/>
              </w:rPr>
            </w:pPr>
          </w:p>
        </w:tc>
        <w:tc>
          <w:tcPr>
            <w:tcW w:w="1320" w:type="dxa"/>
            <w:tcBorders>
              <w:top w:val="nil"/>
              <w:left w:val="nil"/>
              <w:bottom w:val="single" w:color="auto" w:sz="4" w:space="0"/>
              <w:right w:val="single" w:color="auto" w:sz="4" w:space="0"/>
            </w:tcBorders>
            <w:shd w:val="clear" w:color="auto" w:fill="auto"/>
            <w:vAlign w:val="center"/>
          </w:tcPr>
          <w:p w14:paraId="08AE7705">
            <w:pPr>
              <w:widowControl/>
              <w:jc w:val="center"/>
              <w:rPr>
                <w:rFonts w:hint="default" w:ascii="仿宋" w:hAnsi="仿宋" w:eastAsia="仿宋" w:cs="仿宋"/>
                <w:color w:val="000000"/>
                <w:szCs w:val="21"/>
                <w:lang w:val="en-US" w:eastAsia="zh-CN"/>
              </w:rPr>
            </w:pPr>
          </w:p>
        </w:tc>
        <w:tc>
          <w:tcPr>
            <w:tcW w:w="1340" w:type="dxa"/>
            <w:tcBorders>
              <w:top w:val="nil"/>
              <w:left w:val="nil"/>
              <w:bottom w:val="single" w:color="auto" w:sz="4" w:space="0"/>
              <w:right w:val="single" w:color="auto" w:sz="4" w:space="0"/>
            </w:tcBorders>
            <w:shd w:val="clear" w:color="auto" w:fill="auto"/>
            <w:vAlign w:val="center"/>
          </w:tcPr>
          <w:p w14:paraId="53364596">
            <w:pPr>
              <w:widowControl/>
              <w:jc w:val="center"/>
              <w:rPr>
                <w:rFonts w:hint="eastAsia" w:ascii="仿宋" w:hAnsi="仿宋" w:eastAsia="仿宋" w:cs="仿宋"/>
                <w:color w:val="000000"/>
                <w:szCs w:val="21"/>
              </w:rPr>
            </w:pPr>
          </w:p>
        </w:tc>
      </w:tr>
      <w:tr w14:paraId="65231F4D">
        <w:tblPrEx>
          <w:tblCellMar>
            <w:top w:w="0" w:type="dxa"/>
            <w:left w:w="108" w:type="dxa"/>
            <w:bottom w:w="0" w:type="dxa"/>
            <w:right w:w="108" w:type="dxa"/>
          </w:tblCellMar>
        </w:tblPrEx>
        <w:trPr>
          <w:trHeight w:val="422" w:hRule="atLeast"/>
        </w:trPr>
        <w:tc>
          <w:tcPr>
            <w:tcW w:w="776" w:type="dxa"/>
            <w:tcBorders>
              <w:top w:val="nil"/>
              <w:left w:val="single" w:color="auto" w:sz="4" w:space="0"/>
              <w:bottom w:val="single" w:color="auto" w:sz="4" w:space="0"/>
              <w:right w:val="single" w:color="auto" w:sz="4" w:space="0"/>
            </w:tcBorders>
            <w:shd w:val="clear" w:color="auto" w:fill="auto"/>
            <w:vAlign w:val="center"/>
          </w:tcPr>
          <w:p w14:paraId="5D65A004">
            <w:pPr>
              <w:widowControl/>
              <w:jc w:val="center"/>
              <w:rPr>
                <w:rFonts w:hint="eastAsia" w:ascii="仿宋" w:hAnsi="仿宋" w:eastAsia="仿宋" w:cs="仿宋"/>
                <w:color w:val="000000"/>
                <w:szCs w:val="21"/>
              </w:rPr>
            </w:pPr>
            <w:r>
              <w:rPr>
                <w:rFonts w:hint="eastAsia" w:ascii="仿宋" w:hAnsi="仿宋" w:eastAsia="仿宋" w:cs="仿宋"/>
                <w:color w:val="000000"/>
                <w:szCs w:val="21"/>
              </w:rPr>
              <w:t>3</w:t>
            </w:r>
          </w:p>
        </w:tc>
        <w:tc>
          <w:tcPr>
            <w:tcW w:w="2020" w:type="dxa"/>
            <w:tcBorders>
              <w:top w:val="nil"/>
              <w:left w:val="nil"/>
              <w:bottom w:val="single" w:color="auto" w:sz="4" w:space="0"/>
              <w:right w:val="single" w:color="auto" w:sz="4" w:space="0"/>
            </w:tcBorders>
            <w:shd w:val="clear" w:color="auto" w:fill="auto"/>
            <w:vAlign w:val="center"/>
          </w:tcPr>
          <w:p w14:paraId="7DBBCAFA">
            <w:pPr>
              <w:widowControl/>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感烟探测器</w:t>
            </w:r>
          </w:p>
        </w:tc>
        <w:tc>
          <w:tcPr>
            <w:tcW w:w="1560" w:type="dxa"/>
            <w:tcBorders>
              <w:top w:val="nil"/>
              <w:left w:val="nil"/>
              <w:bottom w:val="single" w:color="auto" w:sz="4" w:space="0"/>
              <w:right w:val="single" w:color="auto" w:sz="4" w:space="0"/>
            </w:tcBorders>
            <w:shd w:val="clear" w:color="auto" w:fill="auto"/>
            <w:vAlign w:val="center"/>
          </w:tcPr>
          <w:p w14:paraId="467FFBB4">
            <w:pPr>
              <w:widowControl/>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G3T</w:t>
            </w:r>
          </w:p>
        </w:tc>
        <w:tc>
          <w:tcPr>
            <w:tcW w:w="680" w:type="dxa"/>
            <w:tcBorders>
              <w:top w:val="nil"/>
              <w:left w:val="nil"/>
              <w:bottom w:val="single" w:color="auto" w:sz="4" w:space="0"/>
              <w:right w:val="single" w:color="auto" w:sz="4" w:space="0"/>
            </w:tcBorders>
            <w:shd w:val="clear" w:color="auto" w:fill="auto"/>
            <w:vAlign w:val="center"/>
          </w:tcPr>
          <w:p w14:paraId="7F7D23F3">
            <w:pPr>
              <w:widowControl/>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套</w:t>
            </w:r>
          </w:p>
        </w:tc>
        <w:tc>
          <w:tcPr>
            <w:tcW w:w="760" w:type="dxa"/>
            <w:tcBorders>
              <w:top w:val="nil"/>
              <w:left w:val="nil"/>
              <w:bottom w:val="single" w:color="auto" w:sz="4" w:space="0"/>
              <w:right w:val="single" w:color="auto" w:sz="4" w:space="0"/>
            </w:tcBorders>
            <w:shd w:val="clear" w:color="auto" w:fill="auto"/>
            <w:vAlign w:val="center"/>
          </w:tcPr>
          <w:p w14:paraId="6A8F98B9">
            <w:pPr>
              <w:widowControl/>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12</w:t>
            </w:r>
          </w:p>
        </w:tc>
        <w:tc>
          <w:tcPr>
            <w:tcW w:w="1340" w:type="dxa"/>
            <w:tcBorders>
              <w:top w:val="nil"/>
              <w:left w:val="nil"/>
              <w:bottom w:val="single" w:color="auto" w:sz="4" w:space="0"/>
              <w:right w:val="single" w:color="auto" w:sz="4" w:space="0"/>
            </w:tcBorders>
            <w:shd w:val="clear" w:color="auto" w:fill="auto"/>
            <w:vAlign w:val="center"/>
          </w:tcPr>
          <w:p w14:paraId="184B4201">
            <w:pPr>
              <w:widowControl/>
              <w:jc w:val="center"/>
              <w:rPr>
                <w:rFonts w:hint="default" w:ascii="仿宋" w:hAnsi="仿宋" w:eastAsia="仿宋" w:cs="仿宋"/>
                <w:color w:val="000000"/>
                <w:szCs w:val="21"/>
                <w:lang w:val="en-US" w:eastAsia="zh-CN"/>
              </w:rPr>
            </w:pPr>
          </w:p>
        </w:tc>
        <w:tc>
          <w:tcPr>
            <w:tcW w:w="1320" w:type="dxa"/>
            <w:tcBorders>
              <w:top w:val="nil"/>
              <w:left w:val="nil"/>
              <w:bottom w:val="single" w:color="auto" w:sz="4" w:space="0"/>
              <w:right w:val="single" w:color="auto" w:sz="4" w:space="0"/>
            </w:tcBorders>
            <w:shd w:val="clear" w:color="auto" w:fill="auto"/>
            <w:vAlign w:val="center"/>
          </w:tcPr>
          <w:p w14:paraId="292D438F">
            <w:pPr>
              <w:widowControl/>
              <w:jc w:val="center"/>
              <w:rPr>
                <w:rFonts w:hint="default" w:ascii="仿宋" w:hAnsi="仿宋" w:eastAsia="仿宋" w:cs="仿宋"/>
                <w:color w:val="000000"/>
                <w:szCs w:val="21"/>
                <w:lang w:val="en-US" w:eastAsia="zh-CN"/>
              </w:rPr>
            </w:pPr>
          </w:p>
        </w:tc>
        <w:tc>
          <w:tcPr>
            <w:tcW w:w="1340" w:type="dxa"/>
            <w:tcBorders>
              <w:top w:val="nil"/>
              <w:left w:val="nil"/>
              <w:bottom w:val="single" w:color="auto" w:sz="4" w:space="0"/>
              <w:right w:val="single" w:color="auto" w:sz="4" w:space="0"/>
            </w:tcBorders>
            <w:shd w:val="clear" w:color="auto" w:fill="auto"/>
            <w:vAlign w:val="center"/>
          </w:tcPr>
          <w:p w14:paraId="736FAF0D">
            <w:pPr>
              <w:widowControl/>
              <w:jc w:val="center"/>
              <w:rPr>
                <w:rFonts w:hint="eastAsia" w:ascii="仿宋" w:hAnsi="仿宋" w:eastAsia="仿宋" w:cs="仿宋"/>
                <w:color w:val="000000"/>
                <w:szCs w:val="21"/>
              </w:rPr>
            </w:pPr>
          </w:p>
        </w:tc>
      </w:tr>
      <w:tr w14:paraId="7716C964">
        <w:tblPrEx>
          <w:tblCellMar>
            <w:top w:w="0" w:type="dxa"/>
            <w:left w:w="108" w:type="dxa"/>
            <w:bottom w:w="0" w:type="dxa"/>
            <w:right w:w="108" w:type="dxa"/>
          </w:tblCellMar>
        </w:tblPrEx>
        <w:trPr>
          <w:trHeight w:val="410" w:hRule="atLeast"/>
        </w:trPr>
        <w:tc>
          <w:tcPr>
            <w:tcW w:w="776" w:type="dxa"/>
            <w:tcBorders>
              <w:top w:val="nil"/>
              <w:left w:val="single" w:color="auto" w:sz="4" w:space="0"/>
              <w:bottom w:val="single" w:color="auto" w:sz="4" w:space="0"/>
              <w:right w:val="single" w:color="auto" w:sz="4" w:space="0"/>
            </w:tcBorders>
            <w:shd w:val="clear" w:color="auto" w:fill="auto"/>
            <w:vAlign w:val="center"/>
          </w:tcPr>
          <w:p w14:paraId="21A9FC68">
            <w:pPr>
              <w:widowControl/>
              <w:jc w:val="center"/>
              <w:rPr>
                <w:rFonts w:hint="eastAsia" w:ascii="仿宋" w:hAnsi="仿宋" w:eastAsia="仿宋" w:cs="仿宋"/>
                <w:color w:val="000000"/>
                <w:szCs w:val="21"/>
              </w:rPr>
            </w:pPr>
            <w:r>
              <w:rPr>
                <w:rFonts w:hint="eastAsia" w:ascii="仿宋" w:hAnsi="仿宋" w:eastAsia="仿宋" w:cs="仿宋"/>
                <w:color w:val="000000"/>
                <w:szCs w:val="21"/>
              </w:rPr>
              <w:t>4</w:t>
            </w:r>
          </w:p>
        </w:tc>
        <w:tc>
          <w:tcPr>
            <w:tcW w:w="2020" w:type="dxa"/>
            <w:tcBorders>
              <w:top w:val="nil"/>
              <w:left w:val="nil"/>
              <w:bottom w:val="single" w:color="auto" w:sz="4" w:space="0"/>
              <w:right w:val="single" w:color="auto" w:sz="4" w:space="0"/>
            </w:tcBorders>
            <w:shd w:val="clear" w:color="auto" w:fill="auto"/>
            <w:vAlign w:val="center"/>
          </w:tcPr>
          <w:p w14:paraId="3F720F35">
            <w:pPr>
              <w:widowControl/>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疏散指示标志灯</w:t>
            </w:r>
          </w:p>
        </w:tc>
        <w:tc>
          <w:tcPr>
            <w:tcW w:w="1560" w:type="dxa"/>
            <w:tcBorders>
              <w:top w:val="nil"/>
              <w:left w:val="nil"/>
              <w:bottom w:val="single" w:color="auto" w:sz="4" w:space="0"/>
              <w:right w:val="single" w:color="auto" w:sz="4" w:space="0"/>
            </w:tcBorders>
            <w:shd w:val="clear" w:color="auto" w:fill="auto"/>
            <w:vAlign w:val="center"/>
          </w:tcPr>
          <w:p w14:paraId="7F29320A">
            <w:pPr>
              <w:widowControl/>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安口/左、右指</w:t>
            </w:r>
          </w:p>
        </w:tc>
        <w:tc>
          <w:tcPr>
            <w:tcW w:w="680" w:type="dxa"/>
            <w:tcBorders>
              <w:top w:val="nil"/>
              <w:left w:val="nil"/>
              <w:bottom w:val="single" w:color="auto" w:sz="4" w:space="0"/>
              <w:right w:val="single" w:color="auto" w:sz="4" w:space="0"/>
            </w:tcBorders>
            <w:shd w:val="clear" w:color="auto" w:fill="auto"/>
            <w:vAlign w:val="center"/>
          </w:tcPr>
          <w:p w14:paraId="0C084804">
            <w:pPr>
              <w:widowControl/>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只</w:t>
            </w:r>
          </w:p>
        </w:tc>
        <w:tc>
          <w:tcPr>
            <w:tcW w:w="760" w:type="dxa"/>
            <w:tcBorders>
              <w:top w:val="nil"/>
              <w:left w:val="nil"/>
              <w:bottom w:val="single" w:color="auto" w:sz="4" w:space="0"/>
              <w:right w:val="single" w:color="auto" w:sz="4" w:space="0"/>
            </w:tcBorders>
            <w:shd w:val="clear" w:color="auto" w:fill="auto"/>
            <w:vAlign w:val="center"/>
          </w:tcPr>
          <w:p w14:paraId="4E1C82E7">
            <w:pPr>
              <w:widowControl/>
              <w:jc w:val="center"/>
              <w:rPr>
                <w:rFonts w:hint="eastAsia" w:ascii="仿宋" w:hAnsi="仿宋" w:eastAsia="仿宋" w:cs="仿宋"/>
                <w:color w:val="000000"/>
                <w:szCs w:val="21"/>
                <w:lang w:eastAsia="zh-CN"/>
              </w:rPr>
            </w:pPr>
            <w:r>
              <w:rPr>
                <w:rFonts w:hint="eastAsia" w:ascii="仿宋" w:hAnsi="仿宋" w:eastAsia="仿宋" w:cs="仿宋"/>
                <w:color w:val="000000"/>
                <w:szCs w:val="21"/>
                <w:lang w:val="en-US" w:eastAsia="zh-CN"/>
              </w:rPr>
              <w:t>3</w:t>
            </w:r>
          </w:p>
        </w:tc>
        <w:tc>
          <w:tcPr>
            <w:tcW w:w="1340" w:type="dxa"/>
            <w:tcBorders>
              <w:top w:val="nil"/>
              <w:left w:val="nil"/>
              <w:bottom w:val="single" w:color="auto" w:sz="4" w:space="0"/>
              <w:right w:val="single" w:color="auto" w:sz="4" w:space="0"/>
            </w:tcBorders>
            <w:shd w:val="clear" w:color="auto" w:fill="auto"/>
            <w:vAlign w:val="center"/>
          </w:tcPr>
          <w:p w14:paraId="3ED128CD">
            <w:pPr>
              <w:widowControl/>
              <w:jc w:val="center"/>
              <w:rPr>
                <w:rFonts w:hint="default" w:ascii="仿宋" w:hAnsi="仿宋" w:eastAsia="仿宋" w:cs="仿宋"/>
                <w:color w:val="000000"/>
                <w:szCs w:val="21"/>
                <w:lang w:val="en-US" w:eastAsia="zh-CN"/>
              </w:rPr>
            </w:pPr>
          </w:p>
        </w:tc>
        <w:tc>
          <w:tcPr>
            <w:tcW w:w="1320" w:type="dxa"/>
            <w:tcBorders>
              <w:top w:val="nil"/>
              <w:left w:val="nil"/>
              <w:bottom w:val="single" w:color="auto" w:sz="4" w:space="0"/>
              <w:right w:val="single" w:color="auto" w:sz="4" w:space="0"/>
            </w:tcBorders>
            <w:shd w:val="clear" w:color="auto" w:fill="auto"/>
            <w:vAlign w:val="center"/>
          </w:tcPr>
          <w:p w14:paraId="0AF2C3B5">
            <w:pPr>
              <w:widowControl/>
              <w:jc w:val="center"/>
              <w:rPr>
                <w:rFonts w:hint="default" w:ascii="仿宋" w:hAnsi="仿宋" w:eastAsia="仿宋" w:cs="仿宋"/>
                <w:color w:val="000000"/>
                <w:szCs w:val="21"/>
                <w:lang w:val="en-US" w:eastAsia="zh-CN"/>
              </w:rPr>
            </w:pPr>
          </w:p>
        </w:tc>
        <w:tc>
          <w:tcPr>
            <w:tcW w:w="1340" w:type="dxa"/>
            <w:tcBorders>
              <w:top w:val="nil"/>
              <w:left w:val="nil"/>
              <w:bottom w:val="single" w:color="auto" w:sz="4" w:space="0"/>
              <w:right w:val="single" w:color="auto" w:sz="4" w:space="0"/>
            </w:tcBorders>
            <w:shd w:val="clear" w:color="auto" w:fill="auto"/>
            <w:vAlign w:val="center"/>
          </w:tcPr>
          <w:p w14:paraId="41B6E19F">
            <w:pPr>
              <w:widowControl/>
              <w:jc w:val="center"/>
              <w:rPr>
                <w:rFonts w:hint="eastAsia" w:ascii="仿宋" w:hAnsi="仿宋" w:eastAsia="仿宋" w:cs="仿宋"/>
                <w:color w:val="000000"/>
                <w:szCs w:val="21"/>
              </w:rPr>
            </w:pPr>
          </w:p>
        </w:tc>
      </w:tr>
      <w:tr w14:paraId="40BFA308">
        <w:tblPrEx>
          <w:tblCellMar>
            <w:top w:w="0" w:type="dxa"/>
            <w:left w:w="108" w:type="dxa"/>
            <w:bottom w:w="0" w:type="dxa"/>
            <w:right w:w="108" w:type="dxa"/>
          </w:tblCellMar>
        </w:tblPrEx>
        <w:trPr>
          <w:trHeight w:val="472" w:hRule="atLeast"/>
        </w:trPr>
        <w:tc>
          <w:tcPr>
            <w:tcW w:w="776" w:type="dxa"/>
            <w:tcBorders>
              <w:top w:val="nil"/>
              <w:left w:val="single" w:color="auto" w:sz="4" w:space="0"/>
              <w:bottom w:val="single" w:color="auto" w:sz="4" w:space="0"/>
              <w:right w:val="single" w:color="auto" w:sz="4" w:space="0"/>
            </w:tcBorders>
            <w:shd w:val="clear" w:color="auto" w:fill="auto"/>
            <w:vAlign w:val="center"/>
          </w:tcPr>
          <w:p w14:paraId="1785F813">
            <w:pPr>
              <w:widowControl/>
              <w:jc w:val="center"/>
              <w:rPr>
                <w:rFonts w:hint="eastAsia" w:ascii="仿宋" w:hAnsi="仿宋" w:eastAsia="仿宋" w:cs="仿宋"/>
                <w:color w:val="000000"/>
                <w:szCs w:val="21"/>
              </w:rPr>
            </w:pPr>
            <w:r>
              <w:rPr>
                <w:rFonts w:hint="eastAsia" w:ascii="仿宋" w:hAnsi="仿宋" w:eastAsia="仿宋" w:cs="仿宋"/>
                <w:color w:val="000000"/>
                <w:szCs w:val="21"/>
              </w:rPr>
              <w:t>5</w:t>
            </w:r>
          </w:p>
        </w:tc>
        <w:tc>
          <w:tcPr>
            <w:tcW w:w="2020" w:type="dxa"/>
            <w:tcBorders>
              <w:top w:val="nil"/>
              <w:left w:val="nil"/>
              <w:bottom w:val="single" w:color="auto" w:sz="4" w:space="0"/>
              <w:right w:val="single" w:color="auto" w:sz="4" w:space="0"/>
            </w:tcBorders>
            <w:shd w:val="clear" w:color="auto" w:fill="auto"/>
            <w:vAlign w:val="center"/>
          </w:tcPr>
          <w:p w14:paraId="01772DF6">
            <w:pPr>
              <w:widowControl/>
              <w:jc w:val="center"/>
              <w:rPr>
                <w:rFonts w:hint="eastAsia" w:ascii="仿宋" w:hAnsi="仿宋" w:eastAsia="仿宋" w:cs="仿宋"/>
                <w:color w:val="000000"/>
                <w:szCs w:val="21"/>
                <w:lang w:eastAsia="zh-CN"/>
              </w:rPr>
            </w:pPr>
            <w:r>
              <w:rPr>
                <w:rFonts w:hint="eastAsia" w:ascii="仿宋" w:hAnsi="仿宋" w:eastAsia="仿宋" w:cs="仿宋"/>
                <w:color w:val="000000"/>
                <w:szCs w:val="21"/>
                <w:lang w:val="en-US" w:eastAsia="zh-CN"/>
              </w:rPr>
              <w:t>阻燃双绞多股软线</w:t>
            </w:r>
          </w:p>
        </w:tc>
        <w:tc>
          <w:tcPr>
            <w:tcW w:w="1560" w:type="dxa"/>
            <w:tcBorders>
              <w:top w:val="nil"/>
              <w:left w:val="nil"/>
              <w:bottom w:val="single" w:color="auto" w:sz="4" w:space="0"/>
              <w:right w:val="single" w:color="auto" w:sz="4" w:space="0"/>
            </w:tcBorders>
            <w:shd w:val="clear" w:color="auto" w:fill="auto"/>
            <w:vAlign w:val="center"/>
          </w:tcPr>
          <w:p w14:paraId="38CACAC7">
            <w:pPr>
              <w:widowControl/>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ZR-RV2*2.5</w:t>
            </w:r>
          </w:p>
        </w:tc>
        <w:tc>
          <w:tcPr>
            <w:tcW w:w="680" w:type="dxa"/>
            <w:tcBorders>
              <w:top w:val="nil"/>
              <w:left w:val="nil"/>
              <w:bottom w:val="single" w:color="auto" w:sz="4" w:space="0"/>
              <w:right w:val="single" w:color="auto" w:sz="4" w:space="0"/>
            </w:tcBorders>
            <w:shd w:val="clear" w:color="auto" w:fill="auto"/>
            <w:vAlign w:val="center"/>
          </w:tcPr>
          <w:p w14:paraId="47B77C2F">
            <w:pPr>
              <w:widowControl/>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卷</w:t>
            </w:r>
          </w:p>
        </w:tc>
        <w:tc>
          <w:tcPr>
            <w:tcW w:w="760" w:type="dxa"/>
            <w:tcBorders>
              <w:top w:val="nil"/>
              <w:left w:val="nil"/>
              <w:bottom w:val="single" w:color="auto" w:sz="4" w:space="0"/>
              <w:right w:val="single" w:color="auto" w:sz="4" w:space="0"/>
            </w:tcBorders>
            <w:shd w:val="clear" w:color="auto" w:fill="auto"/>
            <w:vAlign w:val="center"/>
          </w:tcPr>
          <w:p w14:paraId="23559576">
            <w:pPr>
              <w:widowControl/>
              <w:jc w:val="center"/>
              <w:rPr>
                <w:rFonts w:hint="eastAsia" w:ascii="仿宋" w:hAnsi="仿宋" w:eastAsia="仿宋" w:cs="仿宋"/>
                <w:color w:val="000000"/>
                <w:szCs w:val="21"/>
                <w:lang w:eastAsia="zh-CN"/>
              </w:rPr>
            </w:pPr>
            <w:r>
              <w:rPr>
                <w:rFonts w:hint="eastAsia" w:ascii="仿宋" w:hAnsi="仿宋" w:eastAsia="仿宋" w:cs="仿宋"/>
                <w:color w:val="000000"/>
                <w:szCs w:val="21"/>
                <w:lang w:val="en-US" w:eastAsia="zh-CN"/>
              </w:rPr>
              <w:t>2</w:t>
            </w:r>
          </w:p>
        </w:tc>
        <w:tc>
          <w:tcPr>
            <w:tcW w:w="1340" w:type="dxa"/>
            <w:tcBorders>
              <w:top w:val="nil"/>
              <w:left w:val="nil"/>
              <w:bottom w:val="single" w:color="auto" w:sz="4" w:space="0"/>
              <w:right w:val="single" w:color="auto" w:sz="4" w:space="0"/>
            </w:tcBorders>
            <w:shd w:val="clear" w:color="auto" w:fill="auto"/>
            <w:vAlign w:val="center"/>
          </w:tcPr>
          <w:p w14:paraId="768C9EDB">
            <w:pPr>
              <w:widowControl/>
              <w:jc w:val="center"/>
              <w:rPr>
                <w:rFonts w:hint="default" w:ascii="仿宋" w:hAnsi="仿宋" w:eastAsia="仿宋" w:cs="仿宋"/>
                <w:color w:val="000000"/>
                <w:szCs w:val="21"/>
                <w:lang w:val="en-US" w:eastAsia="zh-CN"/>
              </w:rPr>
            </w:pPr>
          </w:p>
        </w:tc>
        <w:tc>
          <w:tcPr>
            <w:tcW w:w="1320" w:type="dxa"/>
            <w:tcBorders>
              <w:top w:val="nil"/>
              <w:left w:val="nil"/>
              <w:bottom w:val="single" w:color="auto" w:sz="4" w:space="0"/>
              <w:right w:val="single" w:color="auto" w:sz="4" w:space="0"/>
            </w:tcBorders>
            <w:shd w:val="clear" w:color="auto" w:fill="auto"/>
            <w:vAlign w:val="center"/>
          </w:tcPr>
          <w:p w14:paraId="3737C499">
            <w:pPr>
              <w:widowControl/>
              <w:jc w:val="center"/>
              <w:rPr>
                <w:rFonts w:hint="default" w:ascii="仿宋" w:hAnsi="仿宋" w:eastAsia="仿宋" w:cs="仿宋"/>
                <w:color w:val="000000"/>
                <w:szCs w:val="21"/>
                <w:lang w:val="en-US" w:eastAsia="zh-CN"/>
              </w:rPr>
            </w:pPr>
          </w:p>
        </w:tc>
        <w:tc>
          <w:tcPr>
            <w:tcW w:w="1340" w:type="dxa"/>
            <w:tcBorders>
              <w:top w:val="nil"/>
              <w:left w:val="nil"/>
              <w:bottom w:val="single" w:color="auto" w:sz="4" w:space="0"/>
              <w:right w:val="single" w:color="auto" w:sz="4" w:space="0"/>
            </w:tcBorders>
            <w:shd w:val="clear" w:color="auto" w:fill="auto"/>
            <w:vAlign w:val="center"/>
          </w:tcPr>
          <w:p w14:paraId="01CB03E7">
            <w:pPr>
              <w:widowControl/>
              <w:jc w:val="center"/>
              <w:rPr>
                <w:rFonts w:hint="eastAsia" w:ascii="仿宋" w:hAnsi="仿宋" w:eastAsia="仿宋" w:cs="仿宋"/>
                <w:color w:val="000000"/>
                <w:szCs w:val="21"/>
              </w:rPr>
            </w:pPr>
          </w:p>
        </w:tc>
      </w:tr>
      <w:tr w14:paraId="49605D2F">
        <w:tblPrEx>
          <w:tblCellMar>
            <w:top w:w="0" w:type="dxa"/>
            <w:left w:w="108" w:type="dxa"/>
            <w:bottom w:w="0" w:type="dxa"/>
            <w:right w:w="108" w:type="dxa"/>
          </w:tblCellMar>
        </w:tblPrEx>
        <w:trPr>
          <w:trHeight w:val="497" w:hRule="atLeast"/>
        </w:trPr>
        <w:tc>
          <w:tcPr>
            <w:tcW w:w="776" w:type="dxa"/>
            <w:tcBorders>
              <w:top w:val="nil"/>
              <w:left w:val="single" w:color="auto" w:sz="4" w:space="0"/>
              <w:bottom w:val="single" w:color="auto" w:sz="4" w:space="0"/>
              <w:right w:val="single" w:color="auto" w:sz="4" w:space="0"/>
            </w:tcBorders>
            <w:shd w:val="clear" w:color="auto" w:fill="auto"/>
            <w:vAlign w:val="center"/>
          </w:tcPr>
          <w:p w14:paraId="46B5F0AC">
            <w:pPr>
              <w:widowControl/>
              <w:jc w:val="center"/>
              <w:rPr>
                <w:rFonts w:hint="eastAsia" w:ascii="仿宋" w:hAnsi="仿宋" w:eastAsia="仿宋" w:cs="仿宋"/>
                <w:color w:val="000000"/>
                <w:szCs w:val="21"/>
              </w:rPr>
            </w:pPr>
            <w:r>
              <w:rPr>
                <w:rFonts w:hint="eastAsia" w:ascii="仿宋" w:hAnsi="仿宋" w:eastAsia="仿宋" w:cs="仿宋"/>
                <w:color w:val="000000"/>
                <w:szCs w:val="21"/>
              </w:rPr>
              <w:t>6</w:t>
            </w:r>
          </w:p>
        </w:tc>
        <w:tc>
          <w:tcPr>
            <w:tcW w:w="2020" w:type="dxa"/>
            <w:tcBorders>
              <w:top w:val="nil"/>
              <w:left w:val="nil"/>
              <w:bottom w:val="single" w:color="auto" w:sz="4" w:space="0"/>
              <w:right w:val="single" w:color="auto" w:sz="4" w:space="0"/>
            </w:tcBorders>
            <w:shd w:val="clear" w:color="auto" w:fill="auto"/>
            <w:vAlign w:val="center"/>
          </w:tcPr>
          <w:p w14:paraId="4B78AC18">
            <w:pPr>
              <w:widowControl/>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CAD点位图纸制作</w:t>
            </w:r>
          </w:p>
        </w:tc>
        <w:tc>
          <w:tcPr>
            <w:tcW w:w="1560" w:type="dxa"/>
            <w:tcBorders>
              <w:top w:val="nil"/>
              <w:left w:val="nil"/>
              <w:bottom w:val="single" w:color="auto" w:sz="4" w:space="0"/>
              <w:right w:val="single" w:color="auto" w:sz="4" w:space="0"/>
            </w:tcBorders>
            <w:shd w:val="clear" w:color="auto" w:fill="auto"/>
            <w:vAlign w:val="center"/>
          </w:tcPr>
          <w:p w14:paraId="1379ACF9">
            <w:pPr>
              <w:widowControl/>
              <w:jc w:val="center"/>
              <w:rPr>
                <w:rFonts w:hint="eastAsia" w:ascii="仿宋" w:hAnsi="仿宋" w:eastAsia="仿宋" w:cs="仿宋"/>
                <w:color w:val="000000"/>
                <w:szCs w:val="21"/>
              </w:rPr>
            </w:pPr>
          </w:p>
        </w:tc>
        <w:tc>
          <w:tcPr>
            <w:tcW w:w="680" w:type="dxa"/>
            <w:tcBorders>
              <w:top w:val="nil"/>
              <w:left w:val="nil"/>
              <w:bottom w:val="single" w:color="auto" w:sz="4" w:space="0"/>
              <w:right w:val="single" w:color="auto" w:sz="4" w:space="0"/>
            </w:tcBorders>
            <w:shd w:val="clear" w:color="auto" w:fill="auto"/>
            <w:vAlign w:val="center"/>
          </w:tcPr>
          <w:p w14:paraId="628135F7">
            <w:pPr>
              <w:widowControl/>
              <w:jc w:val="center"/>
              <w:rPr>
                <w:rFonts w:hint="eastAsia" w:ascii="仿宋" w:hAnsi="仿宋" w:eastAsia="仿宋" w:cs="仿宋"/>
                <w:color w:val="000000"/>
                <w:szCs w:val="21"/>
                <w:lang w:eastAsia="zh-CN"/>
              </w:rPr>
            </w:pPr>
            <w:r>
              <w:rPr>
                <w:rFonts w:hint="eastAsia" w:ascii="仿宋" w:hAnsi="仿宋" w:eastAsia="仿宋" w:cs="仿宋"/>
                <w:color w:val="000000"/>
                <w:szCs w:val="21"/>
                <w:lang w:val="en-US" w:eastAsia="zh-CN"/>
              </w:rPr>
              <w:t>项</w:t>
            </w:r>
          </w:p>
        </w:tc>
        <w:tc>
          <w:tcPr>
            <w:tcW w:w="760" w:type="dxa"/>
            <w:tcBorders>
              <w:top w:val="nil"/>
              <w:left w:val="nil"/>
              <w:bottom w:val="single" w:color="auto" w:sz="4" w:space="0"/>
              <w:right w:val="single" w:color="auto" w:sz="4" w:space="0"/>
            </w:tcBorders>
            <w:shd w:val="clear" w:color="auto" w:fill="auto"/>
            <w:vAlign w:val="center"/>
          </w:tcPr>
          <w:p w14:paraId="61835937">
            <w:pPr>
              <w:widowControl/>
              <w:jc w:val="center"/>
              <w:rPr>
                <w:rFonts w:hint="eastAsia" w:ascii="仿宋" w:hAnsi="仿宋" w:eastAsia="仿宋" w:cs="仿宋"/>
                <w:color w:val="000000"/>
                <w:szCs w:val="21"/>
                <w:lang w:eastAsia="zh-CN"/>
              </w:rPr>
            </w:pPr>
            <w:r>
              <w:rPr>
                <w:rFonts w:hint="eastAsia" w:ascii="仿宋" w:hAnsi="仿宋" w:eastAsia="仿宋" w:cs="仿宋"/>
                <w:color w:val="000000"/>
                <w:szCs w:val="21"/>
                <w:lang w:val="en-US" w:eastAsia="zh-CN"/>
              </w:rPr>
              <w:t>1</w:t>
            </w:r>
          </w:p>
        </w:tc>
        <w:tc>
          <w:tcPr>
            <w:tcW w:w="1340" w:type="dxa"/>
            <w:tcBorders>
              <w:top w:val="nil"/>
              <w:left w:val="nil"/>
              <w:bottom w:val="single" w:color="auto" w:sz="4" w:space="0"/>
              <w:right w:val="single" w:color="auto" w:sz="4" w:space="0"/>
            </w:tcBorders>
            <w:shd w:val="clear" w:color="auto" w:fill="auto"/>
            <w:vAlign w:val="center"/>
          </w:tcPr>
          <w:p w14:paraId="24ADF973">
            <w:pPr>
              <w:widowControl/>
              <w:jc w:val="center"/>
              <w:rPr>
                <w:rFonts w:hint="default" w:ascii="仿宋" w:hAnsi="仿宋" w:eastAsia="仿宋" w:cs="仿宋"/>
                <w:color w:val="000000"/>
                <w:szCs w:val="21"/>
                <w:lang w:val="en-US" w:eastAsia="zh-CN"/>
              </w:rPr>
            </w:pPr>
          </w:p>
        </w:tc>
        <w:tc>
          <w:tcPr>
            <w:tcW w:w="1320" w:type="dxa"/>
            <w:tcBorders>
              <w:top w:val="nil"/>
              <w:left w:val="nil"/>
              <w:bottom w:val="single" w:color="auto" w:sz="4" w:space="0"/>
              <w:right w:val="single" w:color="auto" w:sz="4" w:space="0"/>
            </w:tcBorders>
            <w:shd w:val="clear" w:color="auto" w:fill="auto"/>
            <w:vAlign w:val="center"/>
          </w:tcPr>
          <w:p w14:paraId="66B7B2AE">
            <w:pPr>
              <w:widowControl/>
              <w:jc w:val="center"/>
              <w:rPr>
                <w:rFonts w:hint="default" w:ascii="仿宋" w:hAnsi="仿宋" w:eastAsia="仿宋" w:cs="仿宋"/>
                <w:color w:val="000000"/>
                <w:szCs w:val="21"/>
                <w:lang w:val="en-US" w:eastAsia="zh-CN"/>
              </w:rPr>
            </w:pPr>
          </w:p>
        </w:tc>
        <w:tc>
          <w:tcPr>
            <w:tcW w:w="1340" w:type="dxa"/>
            <w:tcBorders>
              <w:top w:val="nil"/>
              <w:left w:val="nil"/>
              <w:bottom w:val="single" w:color="auto" w:sz="4" w:space="0"/>
              <w:right w:val="single" w:color="auto" w:sz="4" w:space="0"/>
            </w:tcBorders>
            <w:shd w:val="clear" w:color="auto" w:fill="auto"/>
            <w:vAlign w:val="center"/>
          </w:tcPr>
          <w:p w14:paraId="5DE9589D">
            <w:pPr>
              <w:widowControl/>
              <w:jc w:val="center"/>
              <w:rPr>
                <w:rFonts w:hint="eastAsia" w:ascii="仿宋" w:hAnsi="仿宋" w:eastAsia="仿宋" w:cs="仿宋"/>
                <w:color w:val="000000"/>
                <w:szCs w:val="21"/>
              </w:rPr>
            </w:pPr>
            <w:r>
              <w:rPr>
                <w:rFonts w:hint="eastAsia" w:ascii="仿宋" w:hAnsi="仿宋" w:eastAsia="仿宋" w:cs="仿宋"/>
                <w:color w:val="000000"/>
                <w:szCs w:val="21"/>
              </w:rPr>
              <w:t>用于消防支队联网平台点位上传</w:t>
            </w:r>
          </w:p>
        </w:tc>
      </w:tr>
      <w:tr w14:paraId="699137D3">
        <w:tblPrEx>
          <w:tblCellMar>
            <w:top w:w="0" w:type="dxa"/>
            <w:left w:w="108" w:type="dxa"/>
            <w:bottom w:w="0" w:type="dxa"/>
            <w:right w:w="108" w:type="dxa"/>
          </w:tblCellMar>
        </w:tblPrEx>
        <w:trPr>
          <w:trHeight w:val="497" w:hRule="atLeast"/>
        </w:trPr>
        <w:tc>
          <w:tcPr>
            <w:tcW w:w="776" w:type="dxa"/>
            <w:tcBorders>
              <w:top w:val="nil"/>
              <w:left w:val="single" w:color="auto" w:sz="4" w:space="0"/>
              <w:bottom w:val="single" w:color="auto" w:sz="4" w:space="0"/>
              <w:right w:val="single" w:color="auto" w:sz="4" w:space="0"/>
            </w:tcBorders>
            <w:shd w:val="clear" w:color="auto" w:fill="auto"/>
            <w:vAlign w:val="center"/>
          </w:tcPr>
          <w:p w14:paraId="4C61B31D">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7</w:t>
            </w:r>
          </w:p>
        </w:tc>
        <w:tc>
          <w:tcPr>
            <w:tcW w:w="2020" w:type="dxa"/>
            <w:tcBorders>
              <w:top w:val="nil"/>
              <w:left w:val="nil"/>
              <w:bottom w:val="single" w:color="auto" w:sz="4" w:space="0"/>
              <w:right w:val="single" w:color="auto" w:sz="4" w:space="0"/>
            </w:tcBorders>
            <w:shd w:val="clear" w:color="auto" w:fill="auto"/>
            <w:vAlign w:val="center"/>
          </w:tcPr>
          <w:p w14:paraId="520E985D">
            <w:pPr>
              <w:widowControl/>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人工费</w:t>
            </w:r>
          </w:p>
        </w:tc>
        <w:tc>
          <w:tcPr>
            <w:tcW w:w="1560" w:type="dxa"/>
            <w:tcBorders>
              <w:top w:val="nil"/>
              <w:left w:val="nil"/>
              <w:bottom w:val="single" w:color="auto" w:sz="4" w:space="0"/>
              <w:right w:val="single" w:color="auto" w:sz="4" w:space="0"/>
            </w:tcBorders>
            <w:shd w:val="clear" w:color="auto" w:fill="auto"/>
            <w:vAlign w:val="center"/>
          </w:tcPr>
          <w:p w14:paraId="42EF0FC3">
            <w:pPr>
              <w:widowControl/>
              <w:jc w:val="center"/>
              <w:rPr>
                <w:rFonts w:hint="eastAsia" w:ascii="仿宋" w:hAnsi="仿宋" w:eastAsia="仿宋" w:cs="仿宋"/>
                <w:color w:val="000000"/>
                <w:szCs w:val="21"/>
              </w:rPr>
            </w:pPr>
          </w:p>
        </w:tc>
        <w:tc>
          <w:tcPr>
            <w:tcW w:w="680" w:type="dxa"/>
            <w:tcBorders>
              <w:top w:val="nil"/>
              <w:left w:val="nil"/>
              <w:bottom w:val="single" w:color="auto" w:sz="4" w:space="0"/>
              <w:right w:val="single" w:color="auto" w:sz="4" w:space="0"/>
            </w:tcBorders>
            <w:shd w:val="clear" w:color="auto" w:fill="auto"/>
            <w:vAlign w:val="center"/>
          </w:tcPr>
          <w:p w14:paraId="2798BD20">
            <w:pPr>
              <w:widowControl/>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项</w:t>
            </w:r>
          </w:p>
        </w:tc>
        <w:tc>
          <w:tcPr>
            <w:tcW w:w="760" w:type="dxa"/>
            <w:tcBorders>
              <w:top w:val="nil"/>
              <w:left w:val="nil"/>
              <w:bottom w:val="single" w:color="auto" w:sz="4" w:space="0"/>
              <w:right w:val="single" w:color="auto" w:sz="4" w:space="0"/>
            </w:tcBorders>
            <w:shd w:val="clear" w:color="auto" w:fill="auto"/>
            <w:vAlign w:val="center"/>
          </w:tcPr>
          <w:p w14:paraId="51A13891">
            <w:pPr>
              <w:widowControl/>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1</w:t>
            </w:r>
          </w:p>
        </w:tc>
        <w:tc>
          <w:tcPr>
            <w:tcW w:w="1340" w:type="dxa"/>
            <w:tcBorders>
              <w:top w:val="nil"/>
              <w:left w:val="nil"/>
              <w:bottom w:val="single" w:color="auto" w:sz="4" w:space="0"/>
              <w:right w:val="single" w:color="auto" w:sz="4" w:space="0"/>
            </w:tcBorders>
            <w:shd w:val="clear" w:color="auto" w:fill="auto"/>
            <w:vAlign w:val="center"/>
          </w:tcPr>
          <w:p w14:paraId="1D585196">
            <w:pPr>
              <w:widowControl/>
              <w:jc w:val="center"/>
              <w:rPr>
                <w:rFonts w:hint="default" w:ascii="仿宋" w:hAnsi="仿宋" w:eastAsia="仿宋" w:cs="仿宋"/>
                <w:color w:val="000000"/>
                <w:szCs w:val="21"/>
                <w:lang w:val="en-US" w:eastAsia="zh-CN"/>
              </w:rPr>
            </w:pPr>
          </w:p>
        </w:tc>
        <w:tc>
          <w:tcPr>
            <w:tcW w:w="1320" w:type="dxa"/>
            <w:tcBorders>
              <w:top w:val="nil"/>
              <w:left w:val="nil"/>
              <w:bottom w:val="single" w:color="auto" w:sz="4" w:space="0"/>
              <w:right w:val="single" w:color="auto" w:sz="4" w:space="0"/>
            </w:tcBorders>
            <w:shd w:val="clear" w:color="auto" w:fill="auto"/>
            <w:vAlign w:val="center"/>
          </w:tcPr>
          <w:p w14:paraId="078A356F">
            <w:pPr>
              <w:widowControl/>
              <w:jc w:val="center"/>
              <w:rPr>
                <w:rFonts w:hint="default" w:ascii="仿宋" w:hAnsi="仿宋" w:eastAsia="仿宋" w:cs="仿宋"/>
                <w:color w:val="000000"/>
                <w:szCs w:val="21"/>
                <w:lang w:val="en-US" w:eastAsia="zh-CN"/>
              </w:rPr>
            </w:pPr>
          </w:p>
        </w:tc>
        <w:tc>
          <w:tcPr>
            <w:tcW w:w="1340" w:type="dxa"/>
            <w:tcBorders>
              <w:top w:val="nil"/>
              <w:left w:val="nil"/>
              <w:bottom w:val="single" w:color="auto" w:sz="4" w:space="0"/>
              <w:right w:val="single" w:color="auto" w:sz="4" w:space="0"/>
            </w:tcBorders>
            <w:shd w:val="clear" w:color="auto" w:fill="auto"/>
            <w:vAlign w:val="center"/>
          </w:tcPr>
          <w:p w14:paraId="17EBAE7C">
            <w:pPr>
              <w:widowControl/>
              <w:jc w:val="center"/>
              <w:rPr>
                <w:rFonts w:hint="eastAsia" w:ascii="仿宋" w:hAnsi="仿宋" w:eastAsia="仿宋" w:cs="仿宋"/>
                <w:color w:val="000000"/>
                <w:szCs w:val="21"/>
              </w:rPr>
            </w:pPr>
          </w:p>
        </w:tc>
      </w:tr>
      <w:tr w14:paraId="1562278E">
        <w:tblPrEx>
          <w:tblCellMar>
            <w:top w:w="0" w:type="dxa"/>
            <w:left w:w="108" w:type="dxa"/>
            <w:bottom w:w="0" w:type="dxa"/>
            <w:right w:w="108" w:type="dxa"/>
          </w:tblCellMar>
        </w:tblPrEx>
        <w:trPr>
          <w:trHeight w:val="439" w:hRule="atLeast"/>
        </w:trPr>
        <w:tc>
          <w:tcPr>
            <w:tcW w:w="579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721502F">
            <w:pPr>
              <w:widowControl/>
              <w:jc w:val="right"/>
              <w:rPr>
                <w:rFonts w:hint="eastAsia" w:ascii="仿宋" w:hAnsi="仿宋" w:eastAsia="仿宋" w:cs="仿宋"/>
                <w:color w:val="000000"/>
                <w:sz w:val="22"/>
                <w:szCs w:val="22"/>
              </w:rPr>
            </w:pPr>
            <w:r>
              <w:rPr>
                <w:rFonts w:hint="eastAsia" w:ascii="仿宋" w:hAnsi="仿宋" w:eastAsia="仿宋" w:cs="仿宋"/>
                <w:color w:val="000000"/>
                <w:sz w:val="22"/>
                <w:szCs w:val="22"/>
              </w:rPr>
              <w:t>总计人民币小写：</w:t>
            </w:r>
          </w:p>
        </w:tc>
        <w:tc>
          <w:tcPr>
            <w:tcW w:w="4000" w:type="dxa"/>
            <w:gridSpan w:val="3"/>
            <w:tcBorders>
              <w:top w:val="single" w:color="auto" w:sz="4" w:space="0"/>
              <w:left w:val="nil"/>
              <w:bottom w:val="single" w:color="auto" w:sz="4" w:space="0"/>
              <w:right w:val="single" w:color="auto" w:sz="4" w:space="0"/>
            </w:tcBorders>
            <w:shd w:val="clear" w:color="auto" w:fill="auto"/>
            <w:vAlign w:val="center"/>
          </w:tcPr>
          <w:p w14:paraId="1062B7E9">
            <w:pPr>
              <w:widowControl/>
              <w:jc w:val="left"/>
              <w:rPr>
                <w:rFonts w:hint="default" w:ascii="仿宋" w:hAnsi="仿宋" w:eastAsia="仿宋" w:cs="仿宋"/>
                <w:color w:val="000000"/>
                <w:sz w:val="22"/>
                <w:szCs w:val="22"/>
                <w:lang w:val="en-US" w:eastAsia="zh-CN"/>
              </w:rPr>
            </w:pPr>
          </w:p>
        </w:tc>
      </w:tr>
      <w:tr w14:paraId="0B794928">
        <w:tblPrEx>
          <w:tblCellMar>
            <w:top w:w="0" w:type="dxa"/>
            <w:left w:w="108" w:type="dxa"/>
            <w:bottom w:w="0" w:type="dxa"/>
            <w:right w:w="108" w:type="dxa"/>
          </w:tblCellMar>
        </w:tblPrEx>
        <w:trPr>
          <w:trHeight w:val="379" w:hRule="atLeast"/>
        </w:trPr>
        <w:tc>
          <w:tcPr>
            <w:tcW w:w="579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750018A">
            <w:pPr>
              <w:widowControl/>
              <w:jc w:val="right"/>
              <w:rPr>
                <w:rFonts w:hint="eastAsia" w:ascii="仿宋" w:hAnsi="仿宋" w:eastAsia="仿宋" w:cs="仿宋"/>
                <w:color w:val="000000"/>
                <w:sz w:val="22"/>
                <w:szCs w:val="22"/>
              </w:rPr>
            </w:pPr>
            <w:r>
              <w:rPr>
                <w:rFonts w:hint="eastAsia" w:ascii="仿宋" w:hAnsi="仿宋" w:eastAsia="仿宋" w:cs="仿宋"/>
                <w:color w:val="000000"/>
                <w:sz w:val="22"/>
                <w:szCs w:val="22"/>
              </w:rPr>
              <w:t>总计人民币大写：</w:t>
            </w:r>
          </w:p>
        </w:tc>
        <w:tc>
          <w:tcPr>
            <w:tcW w:w="4000" w:type="dxa"/>
            <w:gridSpan w:val="3"/>
            <w:tcBorders>
              <w:top w:val="single" w:color="auto" w:sz="4" w:space="0"/>
              <w:left w:val="nil"/>
              <w:bottom w:val="single" w:color="auto" w:sz="4" w:space="0"/>
              <w:right w:val="single" w:color="auto" w:sz="4" w:space="0"/>
            </w:tcBorders>
            <w:shd w:val="clear" w:color="auto" w:fill="auto"/>
            <w:vAlign w:val="center"/>
          </w:tcPr>
          <w:p w14:paraId="792FB614">
            <w:pPr>
              <w:widowControl/>
              <w:jc w:val="left"/>
              <w:rPr>
                <w:rFonts w:hint="eastAsia" w:ascii="仿宋" w:hAnsi="仿宋" w:eastAsia="仿宋" w:cs="仿宋"/>
                <w:color w:val="000000"/>
                <w:sz w:val="22"/>
                <w:szCs w:val="22"/>
              </w:rPr>
            </w:pPr>
          </w:p>
        </w:tc>
      </w:tr>
      <w:tr w14:paraId="78EF1B66">
        <w:tblPrEx>
          <w:tblCellMar>
            <w:top w:w="0" w:type="dxa"/>
            <w:left w:w="108" w:type="dxa"/>
            <w:bottom w:w="0" w:type="dxa"/>
            <w:right w:w="108" w:type="dxa"/>
          </w:tblCellMar>
        </w:tblPrEx>
        <w:trPr>
          <w:trHeight w:val="439" w:hRule="atLeast"/>
        </w:trPr>
        <w:tc>
          <w:tcPr>
            <w:tcW w:w="9796"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4B151CEB">
            <w:pPr>
              <w:widowControl/>
              <w:jc w:val="left"/>
              <w:rPr>
                <w:rFonts w:hint="eastAsia" w:ascii="仿宋" w:hAnsi="仿宋" w:eastAsia="仿宋" w:cs="仿宋"/>
                <w:color w:val="000000"/>
                <w:sz w:val="22"/>
                <w:szCs w:val="22"/>
              </w:rPr>
            </w:pPr>
            <w:r>
              <w:rPr>
                <w:rFonts w:hint="eastAsia" w:ascii="仿宋" w:hAnsi="仿宋" w:eastAsia="仿宋" w:cs="仿宋"/>
                <w:color w:val="000000" w:themeColor="text1"/>
                <w:sz w:val="22"/>
                <w:szCs w:val="22"/>
                <w14:textFill>
                  <w14:solidFill>
                    <w14:schemeClr w14:val="tx1"/>
                  </w14:solidFill>
                </w14:textFill>
              </w:rPr>
              <w:t>注：该项目报价为包干价（含：安全管理措施费、机械费、税费等所有费用）。</w:t>
            </w:r>
          </w:p>
        </w:tc>
      </w:tr>
    </w:tbl>
    <w:p w14:paraId="7C0B9809">
      <w:pPr>
        <w:spacing w:line="480" w:lineRule="exact"/>
        <w:ind w:firstLine="532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报价单位（盖章）：</w:t>
      </w:r>
    </w:p>
    <w:p w14:paraId="74687DE8">
      <w:pPr>
        <w:spacing w:line="480" w:lineRule="exact"/>
        <w:ind w:firstLine="532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报价日期：</w:t>
      </w:r>
    </w:p>
    <w:sectPr>
      <w:pgSz w:w="11906" w:h="16838" w:orient="landscape"/>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1" w:fontKey="{0EA8C14B-10E4-4059-A86D-7CB53DF8B36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xNTAyODFkY2M3YjdkMDMxNDllMzFhNGMzNmRkY2YifQ=="/>
  </w:docVars>
  <w:rsids>
    <w:rsidRoot w:val="003F78CA"/>
    <w:rsid w:val="00287FC7"/>
    <w:rsid w:val="003F78CA"/>
    <w:rsid w:val="004E4121"/>
    <w:rsid w:val="00684460"/>
    <w:rsid w:val="008113F7"/>
    <w:rsid w:val="00933B6C"/>
    <w:rsid w:val="00951B0D"/>
    <w:rsid w:val="00E8374A"/>
    <w:rsid w:val="03FB37B4"/>
    <w:rsid w:val="04172CFB"/>
    <w:rsid w:val="05EC6161"/>
    <w:rsid w:val="07230354"/>
    <w:rsid w:val="07492528"/>
    <w:rsid w:val="077C7376"/>
    <w:rsid w:val="0D5D2146"/>
    <w:rsid w:val="1461426A"/>
    <w:rsid w:val="15FF3D3A"/>
    <w:rsid w:val="18671F3F"/>
    <w:rsid w:val="1B1D4C62"/>
    <w:rsid w:val="1B522B5E"/>
    <w:rsid w:val="1C6054B3"/>
    <w:rsid w:val="1EB34E21"/>
    <w:rsid w:val="20EF2BFD"/>
    <w:rsid w:val="20F91002"/>
    <w:rsid w:val="215F79BB"/>
    <w:rsid w:val="21C26E80"/>
    <w:rsid w:val="22244B28"/>
    <w:rsid w:val="222E44D9"/>
    <w:rsid w:val="24B8469B"/>
    <w:rsid w:val="27B16A9D"/>
    <w:rsid w:val="293D463F"/>
    <w:rsid w:val="2A0D4681"/>
    <w:rsid w:val="2AB701CB"/>
    <w:rsid w:val="2D0478A2"/>
    <w:rsid w:val="2D457A3C"/>
    <w:rsid w:val="2F025625"/>
    <w:rsid w:val="304F3CB8"/>
    <w:rsid w:val="3052441A"/>
    <w:rsid w:val="3056138E"/>
    <w:rsid w:val="379C71E3"/>
    <w:rsid w:val="3832633A"/>
    <w:rsid w:val="3B1D2F01"/>
    <w:rsid w:val="3C4711D4"/>
    <w:rsid w:val="3DC702B7"/>
    <w:rsid w:val="3F8E74B7"/>
    <w:rsid w:val="3FE535D7"/>
    <w:rsid w:val="408829FA"/>
    <w:rsid w:val="417479C1"/>
    <w:rsid w:val="41AA41C0"/>
    <w:rsid w:val="41E5201D"/>
    <w:rsid w:val="47BE68A2"/>
    <w:rsid w:val="4BDA592E"/>
    <w:rsid w:val="51E06B0B"/>
    <w:rsid w:val="539E183E"/>
    <w:rsid w:val="567846F6"/>
    <w:rsid w:val="571D0F73"/>
    <w:rsid w:val="58F44C79"/>
    <w:rsid w:val="59744640"/>
    <w:rsid w:val="5AF63E09"/>
    <w:rsid w:val="5C5E339D"/>
    <w:rsid w:val="5DFF3DCC"/>
    <w:rsid w:val="61CB1115"/>
    <w:rsid w:val="620A5039"/>
    <w:rsid w:val="631927B9"/>
    <w:rsid w:val="6634479F"/>
    <w:rsid w:val="673E6667"/>
    <w:rsid w:val="682A53FC"/>
    <w:rsid w:val="6D2531FB"/>
    <w:rsid w:val="6E02353D"/>
    <w:rsid w:val="702C48A1"/>
    <w:rsid w:val="706A7177"/>
    <w:rsid w:val="723839D1"/>
    <w:rsid w:val="74A955E6"/>
    <w:rsid w:val="74E802F0"/>
    <w:rsid w:val="75220D6E"/>
    <w:rsid w:val="75765B5E"/>
    <w:rsid w:val="777F79AC"/>
    <w:rsid w:val="7CCA7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ind w:left="601" w:hanging="601"/>
      <w:jc w:val="left"/>
    </w:pPr>
    <w:rPr>
      <w:rFonts w:ascii="宋体" w:hAnsi="宋体" w:cs="宋体"/>
      <w:sz w:val="24"/>
    </w:rPr>
  </w:style>
  <w:style w:type="character" w:customStyle="1" w:styleId="7">
    <w:name w:val="页眉 字符"/>
    <w:basedOn w:val="6"/>
    <w:link w:val="3"/>
    <w:qFormat/>
    <w:uiPriority w:val="0"/>
    <w:rPr>
      <w:sz w:val="18"/>
      <w:szCs w:val="18"/>
    </w:rPr>
  </w:style>
  <w:style w:type="character" w:customStyle="1" w:styleId="8">
    <w:name w:val="页脚 字符"/>
    <w:basedOn w:val="6"/>
    <w:link w:val="2"/>
    <w:qFormat/>
    <w:uiPriority w:val="0"/>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1313</Words>
  <Characters>1370</Characters>
  <Lines>82</Lines>
  <Paragraphs>81</Paragraphs>
  <TotalTime>13</TotalTime>
  <ScaleCrop>false</ScaleCrop>
  <LinksUpToDate>false</LinksUpToDate>
  <CharactersWithSpaces>1376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2024-11-20T00:47:00Z</dcterms:created>
  <dc:creator>Admin</dc:creator>
  <cp:lastModifiedBy>季云</cp:lastModifiedBy>
  <dcterms:modified xsi:type="dcterms:W3CDTF">2025-09-04T07:14:33Z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23154A958624461E981EC179957E2C8D_12</vt:lpwstr>
  </property>
  <property fmtid="{D5CDD505-2E9C-101B-9397-08002B2CF9AE}" pid="4" name="KSOTemplateDocerSaveRecord">
    <vt:lpwstr>eyJoZGlkIjoiYjgyN2JlMDJjOGNhYWE5Yzc5Nzk2NGMwZTRmMTRkZGIiLCJ1c2VySWQiOiIyMjkxMjMzMzkifQ==</vt:lpwstr>
  </property>
</Properties>
</file>