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jc w:val="both"/>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医院部分电开水箱电路改造</w:t>
      </w: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val="en-US" w:eastAsia="zh-CN"/>
        </w:rPr>
        <w:t>医院部分电开水箱电路改造</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eastAsia="zh-CN"/>
        </w:rPr>
        <w:t>为</w:t>
      </w:r>
      <w:r>
        <w:rPr>
          <w:rFonts w:hint="eastAsia" w:ascii="仿宋" w:hAnsi="仿宋" w:eastAsia="仿宋"/>
          <w:sz w:val="30"/>
          <w:szCs w:val="30"/>
          <w:lang w:val="en-US" w:eastAsia="zh-CN"/>
        </w:rPr>
        <w:t>医院节能降耗，需将部分晚间不使用的电开水器供电电源线路进行升级改造，加装时控开关和交流接触器便于控制电开水箱使用时间。（电开水箱具体位置须自行现场勘查）。</w:t>
      </w:r>
    </w:p>
    <w:p w14:paraId="42998EDF">
      <w:pPr>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376082D1">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1原电开水箱电源拆除；</w:t>
      </w:r>
    </w:p>
    <w:p w14:paraId="4AE2C9B7">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2.安装电开水箱控制箱（内装时控开关、交流接触器）；</w:t>
      </w:r>
    </w:p>
    <w:p w14:paraId="7D1AB63D">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3.新装电开水箱控制箱引入电源；</w:t>
      </w:r>
    </w:p>
    <w:p w14:paraId="2E530A0A">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4.从新装电开水箱交流接触器引电源至电开水箱；</w:t>
      </w:r>
    </w:p>
    <w:p w14:paraId="03AF29B8">
      <w:pPr>
        <w:numPr>
          <w:ilvl w:val="0"/>
          <w:numId w:val="0"/>
        </w:num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5，安装调试结束后装临时电度表计量实际用电量（单台）；</w:t>
      </w:r>
    </w:p>
    <w:p w14:paraId="08EAC0ED">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6.</w:t>
      </w:r>
      <w:r>
        <w:rPr>
          <w:rFonts w:hint="eastAsia" w:ascii="仿宋" w:hAnsi="仿宋" w:eastAsia="仿宋"/>
          <w:sz w:val="30"/>
          <w:szCs w:val="30"/>
          <w:lang w:val="zh-CN"/>
        </w:rPr>
        <w:t>施工过程中不得损坏任何设备，不得影响科室正常工作，尽可能减少噪音，</w:t>
      </w:r>
      <w:r>
        <w:rPr>
          <w:rFonts w:hint="eastAsia" w:ascii="仿宋" w:hAnsi="仿宋" w:eastAsia="仿宋"/>
          <w:sz w:val="30"/>
          <w:szCs w:val="30"/>
          <w:lang w:val="en-US" w:eastAsia="zh-CN"/>
        </w:rPr>
        <w:t>垃圾人工清理下楼外运。</w:t>
      </w:r>
    </w:p>
    <w:p w14:paraId="44C3E42E">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7.施工时，施工人员安全及施工场所人员安全由施工方负责，和施工单位没有任何关系。</w:t>
      </w:r>
    </w:p>
    <w:p w14:paraId="2C7FAC08">
      <w:pPr>
        <w:ind w:firstLine="600" w:firstLineChars="200"/>
        <w:rPr>
          <w:rFonts w:ascii="仿宋" w:hAnsi="仿宋" w:eastAsia="仿宋"/>
          <w:sz w:val="30"/>
          <w:szCs w:val="30"/>
        </w:rPr>
      </w:pPr>
      <w:r>
        <w:rPr>
          <w:rFonts w:hint="eastAsia" w:ascii="楷体" w:hAnsi="楷体" w:eastAsia="楷体"/>
          <w:sz w:val="30"/>
          <w:szCs w:val="30"/>
        </w:rPr>
        <w:t>㈢质保期</w:t>
      </w:r>
      <w:r>
        <w:rPr>
          <w:rFonts w:hint="eastAsia" w:ascii="仿宋" w:hAnsi="仿宋" w:eastAsia="仿宋"/>
          <w:sz w:val="30"/>
          <w:szCs w:val="30"/>
        </w:rPr>
        <w:t>：</w:t>
      </w:r>
    </w:p>
    <w:p w14:paraId="4BF65993">
      <w:pPr>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sz w:val="30"/>
          <w:szCs w:val="30"/>
        </w:rPr>
        <w:t>本项目质保期为12个月（自验收合格之日起计），质保期内若出现非人为因素损坏，施工单位负责进行维修。</w:t>
      </w:r>
    </w:p>
    <w:p w14:paraId="0A8B5B44">
      <w:pPr>
        <w:ind w:firstLine="600" w:firstLineChars="200"/>
        <w:rPr>
          <w:rFonts w:ascii="仿宋" w:hAnsi="仿宋" w:eastAsia="仿宋"/>
          <w:sz w:val="30"/>
          <w:szCs w:val="30"/>
        </w:rPr>
      </w:pPr>
      <w:r>
        <w:rPr>
          <w:rFonts w:hint="eastAsia" w:ascii="楷体" w:hAnsi="楷体" w:eastAsia="楷体"/>
          <w:sz w:val="30"/>
          <w:szCs w:val="30"/>
        </w:rPr>
        <w:t>㈣费用结算</w:t>
      </w:r>
      <w:r>
        <w:rPr>
          <w:rFonts w:hint="eastAsia" w:ascii="仿宋" w:hAnsi="仿宋" w:eastAsia="仿宋"/>
          <w:sz w:val="30"/>
          <w:szCs w:val="30"/>
        </w:rPr>
        <w:t>：</w:t>
      </w:r>
    </w:p>
    <w:p w14:paraId="4738D879">
      <w:pPr>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w:t>
      </w:r>
      <w:r>
        <w:rPr>
          <w:rFonts w:hint="eastAsia" w:ascii="仿宋" w:hAnsi="仿宋" w:eastAsia="仿宋"/>
          <w:sz w:val="30"/>
          <w:szCs w:val="30"/>
          <w:lang w:eastAsia="zh-CN"/>
        </w:rPr>
        <w:t>的</w:t>
      </w:r>
      <w:r>
        <w:rPr>
          <w:rFonts w:hint="eastAsia" w:ascii="仿宋" w:hAnsi="仿宋" w:eastAsia="仿宋"/>
          <w:sz w:val="30"/>
          <w:szCs w:val="30"/>
        </w:rPr>
        <w:t>材料费、人工费等所有费用。</w:t>
      </w:r>
    </w:p>
    <w:p w14:paraId="319684A6">
      <w:pPr>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12000</w:t>
      </w:r>
      <w:r>
        <w:rPr>
          <w:rFonts w:hint="eastAsia" w:ascii="仿宋" w:hAnsi="仿宋" w:eastAsia="仿宋"/>
          <w:b/>
          <w:color w:val="000000"/>
          <w:kern w:val="2"/>
          <w:sz w:val="30"/>
          <w:szCs w:val="30"/>
        </w:rPr>
        <w:t>元，报价不得高于控制价。</w:t>
      </w:r>
    </w:p>
    <w:p w14:paraId="194EEA47">
      <w:pPr>
        <w:adjustRightInd w:val="0"/>
        <w:spacing w:line="480" w:lineRule="exact"/>
        <w:jc w:val="left"/>
        <w:rPr>
          <w:rFonts w:hint="eastAsia" w:ascii="仿宋" w:hAnsi="仿宋" w:eastAsia="仿宋"/>
          <w:sz w:val="32"/>
          <w:szCs w:val="32"/>
          <w:lang w:eastAsia="zh-CN"/>
        </w:rPr>
      </w:pPr>
    </w:p>
    <w:p w14:paraId="47F570AE">
      <w:pPr>
        <w:adjustRightInd w:val="0"/>
        <w:spacing w:line="480" w:lineRule="exact"/>
        <w:jc w:val="left"/>
        <w:rPr>
          <w:rFonts w:hint="eastAsia" w:ascii="仿宋" w:hAnsi="仿宋" w:eastAsia="仿宋"/>
          <w:sz w:val="32"/>
          <w:szCs w:val="32"/>
          <w:lang w:val="en-US" w:eastAsia="zh-CN"/>
        </w:rPr>
      </w:pPr>
      <w:r>
        <w:rPr>
          <w:rFonts w:hint="eastAsia" w:ascii="仿宋" w:hAnsi="仿宋" w:eastAsia="仿宋"/>
          <w:sz w:val="32"/>
          <w:szCs w:val="32"/>
          <w:lang w:eastAsia="zh-CN"/>
        </w:rPr>
        <w:t>附：</w:t>
      </w:r>
      <w:r>
        <w:rPr>
          <w:rFonts w:hint="eastAsia" w:ascii="仿宋" w:hAnsi="仿宋" w:eastAsia="仿宋"/>
          <w:sz w:val="32"/>
          <w:szCs w:val="32"/>
          <w:lang w:val="en-US" w:eastAsia="zh-CN"/>
        </w:rPr>
        <w:t>22台电开水箱具体位置：</w:t>
      </w:r>
    </w:p>
    <w:p w14:paraId="6272CFDC">
      <w:pPr>
        <w:adjustRightInd w:val="0"/>
        <w:spacing w:line="480" w:lineRule="exact"/>
        <w:jc w:val="left"/>
        <w:rPr>
          <w:rFonts w:hint="eastAsia" w:ascii="仿宋" w:hAnsi="仿宋" w:eastAsia="仿宋"/>
          <w:sz w:val="32"/>
          <w:szCs w:val="32"/>
          <w:lang w:val="en-US" w:eastAsia="zh-CN"/>
        </w:rPr>
      </w:pPr>
      <w:r>
        <w:rPr>
          <w:rFonts w:hint="eastAsia" w:ascii="仿宋" w:hAnsi="仿宋" w:eastAsia="仿宋"/>
          <w:sz w:val="32"/>
          <w:szCs w:val="32"/>
          <w:lang w:val="en-US" w:eastAsia="zh-CN"/>
        </w:rPr>
        <w:t>门诊南楼、北楼：共计13台；</w:t>
      </w:r>
    </w:p>
    <w:p w14:paraId="51DDEFE3">
      <w:pPr>
        <w:adjustRightInd w:val="0"/>
        <w:spacing w:line="480" w:lineRule="exact"/>
        <w:jc w:val="left"/>
        <w:rPr>
          <w:rFonts w:hint="eastAsia" w:ascii="仿宋" w:hAnsi="仿宋" w:eastAsia="仿宋"/>
          <w:sz w:val="32"/>
          <w:szCs w:val="32"/>
          <w:lang w:val="en-US" w:eastAsia="zh-CN"/>
        </w:rPr>
      </w:pPr>
      <w:r>
        <w:rPr>
          <w:rFonts w:hint="eastAsia" w:ascii="仿宋" w:hAnsi="仿宋" w:eastAsia="仿宋"/>
          <w:sz w:val="32"/>
          <w:szCs w:val="32"/>
          <w:lang w:val="en-US" w:eastAsia="zh-CN"/>
        </w:rPr>
        <w:t>妇产科、口腔科、胃镜室：共计3台；</w:t>
      </w:r>
    </w:p>
    <w:p w14:paraId="574A9210">
      <w:pPr>
        <w:adjustRightInd w:val="0"/>
        <w:spacing w:line="480" w:lineRule="exact"/>
        <w:jc w:val="left"/>
        <w:rPr>
          <w:rFonts w:hint="eastAsia" w:ascii="仿宋" w:hAnsi="仿宋" w:eastAsia="仿宋"/>
          <w:sz w:val="32"/>
          <w:szCs w:val="32"/>
          <w:lang w:val="en-US" w:eastAsia="zh-CN"/>
        </w:rPr>
      </w:pPr>
      <w:r>
        <w:rPr>
          <w:rFonts w:hint="eastAsia" w:ascii="仿宋" w:hAnsi="仿宋" w:eastAsia="仿宋"/>
          <w:sz w:val="32"/>
          <w:szCs w:val="32"/>
          <w:lang w:val="en-US" w:eastAsia="zh-CN"/>
        </w:rPr>
        <w:t>医技楼4-6楼：共计3台；</w:t>
      </w:r>
    </w:p>
    <w:p w14:paraId="793B86CF">
      <w:pPr>
        <w:adjustRightInd w:val="0"/>
        <w:spacing w:line="480" w:lineRule="exact"/>
        <w:jc w:val="left"/>
        <w:rPr>
          <w:rFonts w:hint="default" w:ascii="仿宋" w:hAnsi="仿宋" w:eastAsia="仿宋"/>
          <w:sz w:val="32"/>
          <w:szCs w:val="32"/>
          <w:lang w:val="en-US" w:eastAsia="zh-CN"/>
        </w:rPr>
      </w:pPr>
      <w:r>
        <w:rPr>
          <w:rFonts w:hint="eastAsia" w:ascii="仿宋" w:hAnsi="仿宋" w:eastAsia="仿宋"/>
          <w:sz w:val="32"/>
          <w:szCs w:val="32"/>
          <w:lang w:val="en-US" w:eastAsia="zh-CN"/>
        </w:rPr>
        <w:t>行政1号楼1-3楼：共计3台。</w:t>
      </w:r>
    </w:p>
    <w:p w14:paraId="05BBBF7B">
      <w:pPr>
        <w:adjustRightInd w:val="0"/>
        <w:spacing w:line="480" w:lineRule="exact"/>
        <w:jc w:val="left"/>
        <w:rPr>
          <w:rFonts w:hint="eastAsia" w:ascii="仿宋" w:hAnsi="仿宋" w:eastAsia="仿宋"/>
          <w:sz w:val="32"/>
          <w:szCs w:val="32"/>
          <w:lang w:val="en-US" w:eastAsia="zh-CN"/>
        </w:rPr>
      </w:pPr>
      <w:r>
        <w:rPr>
          <w:rFonts w:hint="eastAsia" w:ascii="仿宋" w:hAnsi="仿宋" w:eastAsia="仿宋"/>
          <w:sz w:val="32"/>
          <w:szCs w:val="32"/>
          <w:lang w:val="en-US" w:eastAsia="zh-CN"/>
        </w:rPr>
        <w:t>附：报价清单</w:t>
      </w:r>
    </w:p>
    <w:p w14:paraId="33E0BC84">
      <w:pPr>
        <w:adjustRightInd w:val="0"/>
        <w:spacing w:line="480" w:lineRule="exact"/>
        <w:jc w:val="left"/>
        <w:rPr>
          <w:rFonts w:hint="eastAsia" w:ascii="仿宋" w:hAnsi="仿宋" w:eastAsia="仿宋"/>
          <w:sz w:val="32"/>
          <w:szCs w:val="32"/>
          <w:lang w:eastAsia="zh-CN"/>
        </w:rPr>
      </w:pPr>
      <w:bookmarkStart w:id="0" w:name="_GoBack"/>
      <w:bookmarkEnd w:id="0"/>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77"/>
        <w:gridCol w:w="1149"/>
        <w:gridCol w:w="3765"/>
        <w:gridCol w:w="420"/>
        <w:gridCol w:w="435"/>
        <w:gridCol w:w="390"/>
        <w:gridCol w:w="390"/>
        <w:gridCol w:w="450"/>
        <w:gridCol w:w="450"/>
        <w:gridCol w:w="496"/>
      </w:tblGrid>
      <w:tr w14:paraId="32C9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5000" w:type="pct"/>
            <w:gridSpan w:val="10"/>
            <w:tcBorders>
              <w:top w:val="single" w:color="000000" w:sz="8" w:space="0"/>
              <w:left w:val="single" w:color="000000" w:sz="8" w:space="0"/>
              <w:bottom w:val="single" w:color="000000" w:sz="8" w:space="0"/>
              <w:right w:val="single" w:color="000000" w:sz="8" w:space="0"/>
            </w:tcBorders>
            <w:shd w:val="clear"/>
            <w:noWrap/>
            <w:vAlign w:val="bottom"/>
          </w:tcPr>
          <w:p w14:paraId="0A09BBF4">
            <w:pPr>
              <w:keepNext w:val="0"/>
              <w:keepLines w:val="0"/>
              <w:widowControl/>
              <w:suppressLineNumbers w:val="0"/>
              <w:jc w:val="center"/>
              <w:textAlignment w:val="bottom"/>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bdr w:val="none" w:color="auto" w:sz="0" w:space="0"/>
                <w:lang w:val="en-US" w:eastAsia="zh-CN" w:bidi="ar"/>
              </w:rPr>
              <w:t>报价清单</w:t>
            </w:r>
          </w:p>
        </w:tc>
      </w:tr>
      <w:tr w14:paraId="1712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2" w:type="pct"/>
            <w:gridSpan w:val="2"/>
            <w:tcBorders>
              <w:top w:val="nil"/>
              <w:left w:val="single" w:color="000000" w:sz="8" w:space="0"/>
              <w:bottom w:val="single" w:color="000000" w:sz="8" w:space="0"/>
              <w:right w:val="single" w:color="000000" w:sz="8" w:space="0"/>
            </w:tcBorders>
            <w:shd w:val="clear"/>
            <w:noWrap/>
            <w:vAlign w:val="bottom"/>
          </w:tcPr>
          <w:p w14:paraId="789B1A26">
            <w:pPr>
              <w:keepNext w:val="0"/>
              <w:keepLines w:val="0"/>
              <w:widowControl/>
              <w:suppressLineNumbers w:val="0"/>
              <w:spacing w:line="240" w:lineRule="auto"/>
              <w:ind w:firstLine="281" w:firstLineChars="100"/>
              <w:jc w:val="both"/>
              <w:textAlignment w:val="bottom"/>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工程名称</w:t>
            </w:r>
          </w:p>
        </w:tc>
        <w:tc>
          <w:tcPr>
            <w:tcW w:w="3696" w:type="pct"/>
            <w:gridSpan w:val="7"/>
            <w:tcBorders>
              <w:top w:val="single" w:color="000000" w:sz="8" w:space="0"/>
              <w:left w:val="nil"/>
              <w:bottom w:val="single" w:color="000000" w:sz="8" w:space="0"/>
              <w:right w:val="single" w:color="000000" w:sz="8" w:space="0"/>
            </w:tcBorders>
            <w:shd w:val="clear"/>
            <w:vAlign w:val="bottom"/>
          </w:tcPr>
          <w:p w14:paraId="7A49DE6C">
            <w:pPr>
              <w:keepNext w:val="0"/>
              <w:keepLines w:val="0"/>
              <w:widowControl/>
              <w:suppressLineNumbers w:val="0"/>
              <w:spacing w:line="240" w:lineRule="auto"/>
              <w:ind w:firstLine="640" w:firstLineChars="200"/>
              <w:jc w:val="left"/>
              <w:textAlignment w:val="bottom"/>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电开水箱电路改造项目报价清单</w:t>
            </w:r>
          </w:p>
        </w:tc>
        <w:tc>
          <w:tcPr>
            <w:tcW w:w="291" w:type="pct"/>
            <w:tcBorders>
              <w:top w:val="single" w:color="000000" w:sz="8" w:space="0"/>
              <w:left w:val="nil"/>
              <w:bottom w:val="single" w:color="000000" w:sz="8" w:space="0"/>
              <w:right w:val="single" w:color="000000" w:sz="8" w:space="0"/>
            </w:tcBorders>
            <w:shd w:val="clear"/>
            <w:vAlign w:val="bottom"/>
          </w:tcPr>
          <w:p w14:paraId="420AB8ED">
            <w:pPr>
              <w:keepNext w:val="0"/>
              <w:keepLines w:val="0"/>
              <w:widowControl/>
              <w:suppressLineNumbers w:val="0"/>
              <w:spacing w:line="240" w:lineRule="auto"/>
              <w:jc w:val="both"/>
              <w:textAlignment w:val="bottom"/>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元</w:t>
            </w:r>
          </w:p>
        </w:tc>
      </w:tr>
      <w:tr w14:paraId="402E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38" w:type="pct"/>
            <w:tcBorders>
              <w:top w:val="nil"/>
              <w:left w:val="single" w:color="000000" w:sz="8" w:space="0"/>
              <w:bottom w:val="single" w:color="000000" w:sz="8" w:space="0"/>
              <w:right w:val="single" w:color="000000" w:sz="8" w:space="0"/>
            </w:tcBorders>
            <w:shd w:val="clear"/>
            <w:noWrap/>
            <w:vAlign w:val="center"/>
          </w:tcPr>
          <w:p w14:paraId="1C38A7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674" w:type="pct"/>
            <w:tcBorders>
              <w:top w:val="nil"/>
              <w:left w:val="nil"/>
              <w:bottom w:val="single" w:color="000000" w:sz="8" w:space="0"/>
              <w:right w:val="single" w:color="000000" w:sz="8" w:space="0"/>
            </w:tcBorders>
            <w:shd w:val="clear"/>
            <w:noWrap/>
            <w:vAlign w:val="center"/>
          </w:tcPr>
          <w:p w14:paraId="650586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名称</w:t>
            </w:r>
          </w:p>
        </w:tc>
        <w:tc>
          <w:tcPr>
            <w:tcW w:w="2208" w:type="pct"/>
            <w:tcBorders>
              <w:top w:val="nil"/>
              <w:left w:val="nil"/>
              <w:bottom w:val="single" w:color="000000" w:sz="8" w:space="0"/>
              <w:right w:val="single" w:color="000000" w:sz="8" w:space="0"/>
            </w:tcBorders>
            <w:shd w:val="clear"/>
            <w:noWrap/>
            <w:vAlign w:val="center"/>
          </w:tcPr>
          <w:p w14:paraId="672FDB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项目特征描述</w:t>
            </w:r>
          </w:p>
        </w:tc>
        <w:tc>
          <w:tcPr>
            <w:tcW w:w="246" w:type="pct"/>
            <w:tcBorders>
              <w:top w:val="single" w:color="000000" w:sz="8" w:space="0"/>
              <w:left w:val="nil"/>
              <w:bottom w:val="single" w:color="000000" w:sz="8" w:space="0"/>
              <w:right w:val="single" w:color="000000" w:sz="8" w:space="0"/>
            </w:tcBorders>
            <w:shd w:val="clear"/>
            <w:vAlign w:val="center"/>
          </w:tcPr>
          <w:p w14:paraId="16429C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计量</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单位</w:t>
            </w:r>
          </w:p>
        </w:tc>
        <w:tc>
          <w:tcPr>
            <w:tcW w:w="255" w:type="pct"/>
            <w:tcBorders>
              <w:top w:val="single" w:color="000000" w:sz="8" w:space="0"/>
              <w:left w:val="nil"/>
              <w:bottom w:val="single" w:color="000000" w:sz="8" w:space="0"/>
              <w:right w:val="single" w:color="000000" w:sz="8" w:space="0"/>
            </w:tcBorders>
            <w:shd w:val="clear"/>
            <w:noWrap/>
            <w:vAlign w:val="center"/>
          </w:tcPr>
          <w:p w14:paraId="005E83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工程量</w:t>
            </w:r>
          </w:p>
        </w:tc>
        <w:tc>
          <w:tcPr>
            <w:tcW w:w="228" w:type="pct"/>
            <w:tcBorders>
              <w:top w:val="single" w:color="000000" w:sz="8" w:space="0"/>
              <w:left w:val="nil"/>
              <w:bottom w:val="single" w:color="000000" w:sz="8" w:space="0"/>
              <w:right w:val="single" w:color="000000" w:sz="8" w:space="0"/>
            </w:tcBorders>
            <w:shd w:val="clear"/>
            <w:vAlign w:val="center"/>
          </w:tcPr>
          <w:p w14:paraId="318B43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人工</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单价</w:t>
            </w:r>
          </w:p>
        </w:tc>
        <w:tc>
          <w:tcPr>
            <w:tcW w:w="228" w:type="pct"/>
            <w:tcBorders>
              <w:top w:val="single" w:color="000000" w:sz="8" w:space="0"/>
              <w:left w:val="nil"/>
              <w:bottom w:val="single" w:color="000000" w:sz="8" w:space="0"/>
              <w:right w:val="single" w:color="000000" w:sz="8" w:space="0"/>
            </w:tcBorders>
            <w:shd w:val="clear"/>
            <w:vAlign w:val="center"/>
          </w:tcPr>
          <w:p w14:paraId="7D518C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单价</w:t>
            </w:r>
          </w:p>
        </w:tc>
        <w:tc>
          <w:tcPr>
            <w:tcW w:w="264" w:type="pct"/>
            <w:tcBorders>
              <w:top w:val="single" w:color="000000" w:sz="8" w:space="0"/>
              <w:left w:val="nil"/>
              <w:bottom w:val="single" w:color="000000" w:sz="8" w:space="0"/>
              <w:right w:val="single" w:color="000000" w:sz="8" w:space="0"/>
            </w:tcBorders>
            <w:shd w:val="clear"/>
            <w:vAlign w:val="center"/>
          </w:tcPr>
          <w:p w14:paraId="75D633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其他</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费用</w:t>
            </w:r>
          </w:p>
        </w:tc>
        <w:tc>
          <w:tcPr>
            <w:tcW w:w="264" w:type="pct"/>
            <w:tcBorders>
              <w:top w:val="single" w:color="000000" w:sz="8" w:space="0"/>
              <w:left w:val="nil"/>
              <w:bottom w:val="single" w:color="000000" w:sz="8" w:space="0"/>
              <w:right w:val="single" w:color="000000" w:sz="8" w:space="0"/>
            </w:tcBorders>
            <w:shd w:val="clear"/>
            <w:vAlign w:val="center"/>
          </w:tcPr>
          <w:p w14:paraId="2CCA0E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综合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单价</w:t>
            </w:r>
          </w:p>
        </w:tc>
        <w:tc>
          <w:tcPr>
            <w:tcW w:w="291" w:type="pct"/>
            <w:tcBorders>
              <w:top w:val="single" w:color="000000" w:sz="8" w:space="0"/>
              <w:left w:val="single" w:color="000000" w:sz="8" w:space="0"/>
              <w:bottom w:val="single" w:color="000000" w:sz="8" w:space="0"/>
              <w:right w:val="single" w:color="000000" w:sz="8" w:space="0"/>
            </w:tcBorders>
            <w:shd w:val="clear"/>
            <w:vAlign w:val="center"/>
          </w:tcPr>
          <w:p w14:paraId="4D6104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合价</w:t>
            </w:r>
          </w:p>
        </w:tc>
      </w:tr>
      <w:tr w14:paraId="3FDC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338" w:type="pct"/>
            <w:tcBorders>
              <w:top w:val="nil"/>
              <w:left w:val="single" w:color="000000" w:sz="8" w:space="0"/>
              <w:bottom w:val="single" w:color="000000" w:sz="8" w:space="0"/>
              <w:right w:val="single" w:color="000000" w:sz="8" w:space="0"/>
            </w:tcBorders>
            <w:shd w:val="clear"/>
            <w:vAlign w:val="center"/>
          </w:tcPr>
          <w:p w14:paraId="2EED08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674" w:type="pct"/>
            <w:tcBorders>
              <w:top w:val="nil"/>
              <w:left w:val="nil"/>
              <w:bottom w:val="single" w:color="000000" w:sz="8" w:space="0"/>
              <w:right w:val="single" w:color="000000" w:sz="8" w:space="0"/>
            </w:tcBorders>
            <w:shd w:val="clear"/>
            <w:vAlign w:val="center"/>
          </w:tcPr>
          <w:p w14:paraId="7615CB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控制箱</w:t>
            </w:r>
          </w:p>
        </w:tc>
        <w:tc>
          <w:tcPr>
            <w:tcW w:w="2208" w:type="pct"/>
            <w:tcBorders>
              <w:top w:val="single" w:color="000000" w:sz="4" w:space="0"/>
              <w:left w:val="single" w:color="000000" w:sz="4" w:space="0"/>
              <w:bottom w:val="single" w:color="000000" w:sz="4" w:space="0"/>
              <w:right w:val="single" w:color="000000" w:sz="4" w:space="0"/>
            </w:tcBorders>
            <w:shd w:val="clear"/>
            <w:vAlign w:val="center"/>
          </w:tcPr>
          <w:p w14:paraId="615A26C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1.明装PZ30-8配电箱(含导轨式220V时控开关1个,导轨式380V/40A四极交流接触器1个）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2.二次线路端子接线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3.单机设备调试</w:t>
            </w:r>
          </w:p>
        </w:tc>
        <w:tc>
          <w:tcPr>
            <w:tcW w:w="246" w:type="pct"/>
            <w:tcBorders>
              <w:top w:val="nil"/>
              <w:left w:val="nil"/>
              <w:bottom w:val="single" w:color="000000" w:sz="8" w:space="0"/>
              <w:right w:val="single" w:color="000000" w:sz="8" w:space="0"/>
            </w:tcBorders>
            <w:shd w:val="clear"/>
            <w:vAlign w:val="center"/>
          </w:tcPr>
          <w:p w14:paraId="10A885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255" w:type="pct"/>
            <w:tcBorders>
              <w:top w:val="single" w:color="000000" w:sz="8" w:space="0"/>
              <w:left w:val="nil"/>
              <w:bottom w:val="single" w:color="000000" w:sz="8" w:space="0"/>
              <w:right w:val="single" w:color="000000" w:sz="8" w:space="0"/>
            </w:tcBorders>
            <w:shd w:val="clear"/>
            <w:vAlign w:val="center"/>
          </w:tcPr>
          <w:p w14:paraId="07C274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228" w:type="pct"/>
            <w:tcBorders>
              <w:top w:val="single" w:color="000000" w:sz="8" w:space="0"/>
              <w:left w:val="nil"/>
              <w:bottom w:val="single" w:color="000000" w:sz="8" w:space="0"/>
              <w:right w:val="single" w:color="000000" w:sz="8" w:space="0"/>
            </w:tcBorders>
            <w:shd w:val="clear"/>
            <w:vAlign w:val="center"/>
          </w:tcPr>
          <w:p w14:paraId="7AFAEE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28" w:type="pct"/>
            <w:tcBorders>
              <w:top w:val="single" w:color="000000" w:sz="8" w:space="0"/>
              <w:left w:val="nil"/>
              <w:bottom w:val="single" w:color="000000" w:sz="8" w:space="0"/>
              <w:right w:val="single" w:color="000000" w:sz="8" w:space="0"/>
            </w:tcBorders>
            <w:shd w:val="clear"/>
            <w:vAlign w:val="center"/>
          </w:tcPr>
          <w:p w14:paraId="50055A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nil"/>
              <w:bottom w:val="single" w:color="000000" w:sz="8" w:space="0"/>
              <w:right w:val="single" w:color="000000" w:sz="8" w:space="0"/>
            </w:tcBorders>
            <w:shd w:val="clear"/>
            <w:vAlign w:val="center"/>
          </w:tcPr>
          <w:p w14:paraId="67E7E7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4E8EF46E">
            <w:pPr>
              <w:keepNext w:val="0"/>
              <w:keepLines w:val="0"/>
              <w:widowControl/>
              <w:suppressLineNumbers w:val="0"/>
              <w:spacing w:line="240" w:lineRule="auto"/>
              <w:jc w:val="both"/>
              <w:textAlignment w:val="center"/>
              <w:rPr>
                <w:rFonts w:hint="eastAsia" w:ascii="宋体" w:hAnsi="宋体" w:eastAsia="宋体" w:cs="宋体"/>
                <w:i w:val="0"/>
                <w:iCs w:val="0"/>
                <w:color w:val="000000"/>
                <w:sz w:val="24"/>
                <w:szCs w:val="24"/>
                <w:u w:val="none"/>
              </w:rPr>
            </w:pPr>
          </w:p>
        </w:tc>
        <w:tc>
          <w:tcPr>
            <w:tcW w:w="291" w:type="pct"/>
            <w:tcBorders>
              <w:top w:val="single" w:color="000000" w:sz="8" w:space="0"/>
              <w:left w:val="single" w:color="000000" w:sz="8" w:space="0"/>
              <w:bottom w:val="single" w:color="000000" w:sz="8" w:space="0"/>
              <w:right w:val="single" w:color="000000" w:sz="8" w:space="0"/>
            </w:tcBorders>
            <w:shd w:val="clear"/>
            <w:vAlign w:val="center"/>
          </w:tcPr>
          <w:p w14:paraId="459E14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33CD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38" w:type="pct"/>
            <w:tcBorders>
              <w:top w:val="nil"/>
              <w:left w:val="single" w:color="000000" w:sz="8" w:space="0"/>
              <w:bottom w:val="single" w:color="000000" w:sz="8" w:space="0"/>
              <w:right w:val="single" w:color="000000" w:sz="8" w:space="0"/>
            </w:tcBorders>
            <w:shd w:val="clear"/>
            <w:vAlign w:val="center"/>
          </w:tcPr>
          <w:p w14:paraId="3D2AA1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674" w:type="pct"/>
            <w:tcBorders>
              <w:top w:val="nil"/>
              <w:left w:val="nil"/>
              <w:bottom w:val="single" w:color="000000" w:sz="8" w:space="0"/>
              <w:right w:val="single" w:color="000000" w:sz="8" w:space="0"/>
            </w:tcBorders>
            <w:shd w:val="clear"/>
            <w:vAlign w:val="center"/>
          </w:tcPr>
          <w:p w14:paraId="6C319E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拆除并恢复</w:t>
            </w:r>
          </w:p>
        </w:tc>
        <w:tc>
          <w:tcPr>
            <w:tcW w:w="2208" w:type="pct"/>
            <w:tcBorders>
              <w:top w:val="nil"/>
              <w:left w:val="nil"/>
              <w:bottom w:val="single" w:color="000000" w:sz="8" w:space="0"/>
              <w:right w:val="single" w:color="000000" w:sz="8" w:space="0"/>
            </w:tcBorders>
            <w:shd w:val="clear"/>
            <w:vAlign w:val="center"/>
          </w:tcPr>
          <w:p w14:paraId="7670866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原有配电箱盖板、原开水箱电源线路拆除并重新安装</w:t>
            </w:r>
          </w:p>
        </w:tc>
        <w:tc>
          <w:tcPr>
            <w:tcW w:w="246" w:type="pct"/>
            <w:tcBorders>
              <w:top w:val="nil"/>
              <w:left w:val="nil"/>
              <w:bottom w:val="single" w:color="000000" w:sz="8" w:space="0"/>
              <w:right w:val="single" w:color="000000" w:sz="8" w:space="0"/>
            </w:tcBorders>
            <w:shd w:val="clear"/>
            <w:vAlign w:val="center"/>
          </w:tcPr>
          <w:p w14:paraId="277FF7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255" w:type="pct"/>
            <w:tcBorders>
              <w:top w:val="single" w:color="000000" w:sz="8" w:space="0"/>
              <w:left w:val="single" w:color="000000" w:sz="8" w:space="0"/>
              <w:bottom w:val="single" w:color="000000" w:sz="8" w:space="0"/>
              <w:right w:val="single" w:color="000000" w:sz="8" w:space="0"/>
            </w:tcBorders>
            <w:shd w:val="clear"/>
            <w:vAlign w:val="center"/>
          </w:tcPr>
          <w:p w14:paraId="091A83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54E4F9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600575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0404FC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099810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91" w:type="pct"/>
            <w:tcBorders>
              <w:top w:val="single" w:color="000000" w:sz="8" w:space="0"/>
              <w:left w:val="single" w:color="000000" w:sz="8" w:space="0"/>
              <w:bottom w:val="single" w:color="000000" w:sz="8" w:space="0"/>
              <w:right w:val="single" w:color="000000" w:sz="8" w:space="0"/>
            </w:tcBorders>
            <w:shd w:val="clear"/>
            <w:vAlign w:val="center"/>
          </w:tcPr>
          <w:p w14:paraId="671E76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4BF2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38" w:type="pct"/>
            <w:tcBorders>
              <w:top w:val="nil"/>
              <w:left w:val="single" w:color="000000" w:sz="8" w:space="0"/>
              <w:bottom w:val="single" w:color="000000" w:sz="8" w:space="0"/>
              <w:right w:val="single" w:color="000000" w:sz="8" w:space="0"/>
            </w:tcBorders>
            <w:shd w:val="clear"/>
            <w:vAlign w:val="center"/>
          </w:tcPr>
          <w:p w14:paraId="37A649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674" w:type="pct"/>
            <w:tcBorders>
              <w:top w:val="nil"/>
              <w:left w:val="nil"/>
              <w:bottom w:val="single" w:color="000000" w:sz="8" w:space="0"/>
              <w:right w:val="single" w:color="000000" w:sz="8" w:space="0"/>
            </w:tcBorders>
            <w:shd w:val="clear"/>
            <w:vAlign w:val="center"/>
          </w:tcPr>
          <w:p w14:paraId="64C751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线槽敷设</w:t>
            </w:r>
          </w:p>
        </w:tc>
        <w:tc>
          <w:tcPr>
            <w:tcW w:w="2208" w:type="pct"/>
            <w:tcBorders>
              <w:top w:val="nil"/>
              <w:left w:val="nil"/>
              <w:bottom w:val="single" w:color="000000" w:sz="8" w:space="0"/>
              <w:right w:val="single" w:color="000000" w:sz="8" w:space="0"/>
            </w:tcBorders>
            <w:shd w:val="clear"/>
            <w:vAlign w:val="center"/>
          </w:tcPr>
          <w:p w14:paraId="383F2C3F">
            <w:pPr>
              <w:keepNext w:val="0"/>
              <w:keepLines w:val="0"/>
              <w:widowControl/>
              <w:numPr>
                <w:numId w:val="0"/>
              </w:numPr>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50mm塑料线槽</w:t>
            </w:r>
          </w:p>
        </w:tc>
        <w:tc>
          <w:tcPr>
            <w:tcW w:w="246" w:type="pct"/>
            <w:tcBorders>
              <w:top w:val="nil"/>
              <w:left w:val="nil"/>
              <w:bottom w:val="single" w:color="000000" w:sz="8" w:space="0"/>
              <w:right w:val="single" w:color="000000" w:sz="8" w:space="0"/>
            </w:tcBorders>
            <w:shd w:val="clear"/>
            <w:vAlign w:val="center"/>
          </w:tcPr>
          <w:p w14:paraId="19C295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255" w:type="pct"/>
            <w:tcBorders>
              <w:top w:val="single" w:color="000000" w:sz="8" w:space="0"/>
              <w:left w:val="single" w:color="000000" w:sz="8" w:space="0"/>
              <w:bottom w:val="single" w:color="000000" w:sz="8" w:space="0"/>
              <w:right w:val="single" w:color="000000" w:sz="8" w:space="0"/>
            </w:tcBorders>
            <w:shd w:val="clear"/>
            <w:vAlign w:val="center"/>
          </w:tcPr>
          <w:p w14:paraId="20317F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0AEDE3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345F0A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11109B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42BB9F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91" w:type="pct"/>
            <w:tcBorders>
              <w:top w:val="single" w:color="000000" w:sz="8" w:space="0"/>
              <w:left w:val="single" w:color="000000" w:sz="8" w:space="0"/>
              <w:bottom w:val="single" w:color="000000" w:sz="8" w:space="0"/>
              <w:right w:val="single" w:color="000000" w:sz="8" w:space="0"/>
            </w:tcBorders>
            <w:shd w:val="clear"/>
            <w:vAlign w:val="center"/>
          </w:tcPr>
          <w:p w14:paraId="6E130C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0C32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38" w:type="pct"/>
            <w:tcBorders>
              <w:top w:val="nil"/>
              <w:left w:val="single" w:color="000000" w:sz="8" w:space="0"/>
              <w:bottom w:val="single" w:color="000000" w:sz="8" w:space="0"/>
              <w:right w:val="single" w:color="000000" w:sz="8" w:space="0"/>
            </w:tcBorders>
            <w:shd w:val="clear"/>
            <w:vAlign w:val="center"/>
          </w:tcPr>
          <w:p w14:paraId="70615A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674" w:type="pct"/>
            <w:tcBorders>
              <w:top w:val="nil"/>
              <w:left w:val="nil"/>
              <w:bottom w:val="single" w:color="000000" w:sz="8" w:space="0"/>
              <w:right w:val="single" w:color="000000" w:sz="8" w:space="0"/>
            </w:tcBorders>
            <w:shd w:val="clear"/>
            <w:vAlign w:val="center"/>
          </w:tcPr>
          <w:p w14:paraId="1A526F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电源线敷设</w:t>
            </w:r>
          </w:p>
        </w:tc>
        <w:tc>
          <w:tcPr>
            <w:tcW w:w="2208" w:type="pct"/>
            <w:tcBorders>
              <w:top w:val="nil"/>
              <w:left w:val="nil"/>
              <w:bottom w:val="single" w:color="000000" w:sz="8" w:space="0"/>
              <w:right w:val="single" w:color="000000" w:sz="8" w:space="0"/>
            </w:tcBorders>
            <w:shd w:val="clear"/>
            <w:vAlign w:val="center"/>
          </w:tcPr>
          <w:p w14:paraId="4ECAE47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线槽内敷设WDZ-BYJ-4mm²</w:t>
            </w:r>
          </w:p>
        </w:tc>
        <w:tc>
          <w:tcPr>
            <w:tcW w:w="246" w:type="pct"/>
            <w:tcBorders>
              <w:top w:val="nil"/>
              <w:left w:val="nil"/>
              <w:bottom w:val="single" w:color="000000" w:sz="8" w:space="0"/>
              <w:right w:val="single" w:color="000000" w:sz="8" w:space="0"/>
            </w:tcBorders>
            <w:shd w:val="clear"/>
            <w:vAlign w:val="center"/>
          </w:tcPr>
          <w:p w14:paraId="3459CB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255" w:type="pct"/>
            <w:tcBorders>
              <w:top w:val="single" w:color="000000" w:sz="8" w:space="0"/>
              <w:left w:val="single" w:color="000000" w:sz="8" w:space="0"/>
              <w:bottom w:val="single" w:color="000000" w:sz="8" w:space="0"/>
              <w:right w:val="single" w:color="000000" w:sz="8" w:space="0"/>
            </w:tcBorders>
            <w:shd w:val="clear"/>
            <w:vAlign w:val="center"/>
          </w:tcPr>
          <w:p w14:paraId="588715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3"/>
                <w:szCs w:val="13"/>
                <w:u w:val="none"/>
                <w:bdr w:val="none" w:color="auto" w:sz="0" w:space="0"/>
                <w:lang w:val="en-US" w:eastAsia="zh-CN" w:bidi="ar"/>
              </w:rPr>
              <w:t>176</w:t>
            </w: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508EBD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568D6A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028744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62AF4F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91" w:type="pct"/>
            <w:tcBorders>
              <w:top w:val="single" w:color="000000" w:sz="8" w:space="0"/>
              <w:left w:val="single" w:color="000000" w:sz="8" w:space="0"/>
              <w:bottom w:val="single" w:color="000000" w:sz="8" w:space="0"/>
              <w:right w:val="single" w:color="000000" w:sz="8" w:space="0"/>
            </w:tcBorders>
            <w:shd w:val="clear"/>
            <w:vAlign w:val="center"/>
          </w:tcPr>
          <w:p w14:paraId="2F5E70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5A20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38" w:type="pct"/>
            <w:tcBorders>
              <w:top w:val="nil"/>
              <w:left w:val="single" w:color="000000" w:sz="8" w:space="0"/>
              <w:bottom w:val="single" w:color="000000" w:sz="8" w:space="0"/>
              <w:right w:val="single" w:color="000000" w:sz="8" w:space="0"/>
            </w:tcBorders>
            <w:shd w:val="clear"/>
            <w:vAlign w:val="center"/>
          </w:tcPr>
          <w:p w14:paraId="1149D6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674" w:type="pct"/>
            <w:tcBorders>
              <w:top w:val="nil"/>
              <w:left w:val="nil"/>
              <w:bottom w:val="single" w:color="000000" w:sz="8" w:space="0"/>
              <w:right w:val="single" w:color="000000" w:sz="8" w:space="0"/>
            </w:tcBorders>
            <w:shd w:val="clear"/>
            <w:vAlign w:val="center"/>
          </w:tcPr>
          <w:p w14:paraId="175FD1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通电调试</w:t>
            </w:r>
          </w:p>
        </w:tc>
        <w:tc>
          <w:tcPr>
            <w:tcW w:w="2208" w:type="pct"/>
            <w:tcBorders>
              <w:top w:val="single" w:color="000000" w:sz="8" w:space="0"/>
              <w:left w:val="single" w:color="000000" w:sz="8" w:space="0"/>
              <w:bottom w:val="single" w:color="000000" w:sz="4" w:space="0"/>
              <w:right w:val="single" w:color="000000" w:sz="4" w:space="0"/>
            </w:tcBorders>
            <w:shd w:val="clear"/>
            <w:vAlign w:val="center"/>
          </w:tcPr>
          <w:p w14:paraId="0920D84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开水箱通电试验</w:t>
            </w:r>
          </w:p>
        </w:tc>
        <w:tc>
          <w:tcPr>
            <w:tcW w:w="246" w:type="pct"/>
            <w:tcBorders>
              <w:top w:val="nil"/>
              <w:left w:val="nil"/>
              <w:bottom w:val="single" w:color="000000" w:sz="8" w:space="0"/>
              <w:right w:val="single" w:color="000000" w:sz="8" w:space="0"/>
            </w:tcBorders>
            <w:shd w:val="clear"/>
            <w:vAlign w:val="center"/>
          </w:tcPr>
          <w:p w14:paraId="7CB120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255" w:type="pct"/>
            <w:tcBorders>
              <w:top w:val="single" w:color="000000" w:sz="8" w:space="0"/>
              <w:left w:val="single" w:color="000000" w:sz="8" w:space="0"/>
              <w:bottom w:val="single" w:color="000000" w:sz="8" w:space="0"/>
              <w:right w:val="single" w:color="000000" w:sz="8" w:space="0"/>
            </w:tcBorders>
            <w:shd w:val="clear"/>
            <w:vAlign w:val="center"/>
          </w:tcPr>
          <w:p w14:paraId="3F0C29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33BA94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50150CB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0E62A9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0FD4F4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91" w:type="pct"/>
            <w:tcBorders>
              <w:top w:val="single" w:color="000000" w:sz="8" w:space="0"/>
              <w:left w:val="single" w:color="000000" w:sz="8" w:space="0"/>
              <w:bottom w:val="single" w:color="000000" w:sz="8" w:space="0"/>
              <w:right w:val="single" w:color="000000" w:sz="8" w:space="0"/>
            </w:tcBorders>
            <w:shd w:val="clear"/>
            <w:vAlign w:val="center"/>
          </w:tcPr>
          <w:p w14:paraId="0AF497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1FF3C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38" w:type="pct"/>
            <w:tcBorders>
              <w:top w:val="nil"/>
              <w:left w:val="single" w:color="000000" w:sz="8" w:space="0"/>
              <w:bottom w:val="single" w:color="000000" w:sz="8" w:space="0"/>
              <w:right w:val="single" w:color="000000" w:sz="8" w:space="0"/>
            </w:tcBorders>
            <w:shd w:val="clear"/>
            <w:vAlign w:val="center"/>
          </w:tcPr>
          <w:p w14:paraId="56327F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674" w:type="pct"/>
            <w:tcBorders>
              <w:top w:val="nil"/>
              <w:left w:val="nil"/>
              <w:bottom w:val="single" w:color="000000" w:sz="8" w:space="0"/>
              <w:right w:val="single" w:color="000000" w:sz="8" w:space="0"/>
            </w:tcBorders>
            <w:shd w:val="clear"/>
            <w:vAlign w:val="center"/>
          </w:tcPr>
          <w:p w14:paraId="2D0D1C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瓷砖墙面切割、开孔</w:t>
            </w:r>
          </w:p>
        </w:tc>
        <w:tc>
          <w:tcPr>
            <w:tcW w:w="2208" w:type="pct"/>
            <w:tcBorders>
              <w:top w:val="single" w:color="000000" w:sz="4" w:space="0"/>
              <w:left w:val="single" w:color="000000" w:sz="4" w:space="0"/>
              <w:bottom w:val="single" w:color="000000" w:sz="4" w:space="0"/>
              <w:right w:val="single" w:color="000000" w:sz="4" w:space="0"/>
            </w:tcBorders>
            <w:shd w:val="clear"/>
            <w:vAlign w:val="center"/>
          </w:tcPr>
          <w:p w14:paraId="4CE7DACB">
            <w:pPr>
              <w:keepNext w:val="0"/>
              <w:keepLines w:val="0"/>
              <w:widowControl/>
              <w:suppressLineNumbers w:val="0"/>
              <w:spacing w:after="20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1.原暗装配电箱瓷砖墙面切割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2.新装配电箱瓷砖墙面开孔</w:t>
            </w:r>
          </w:p>
        </w:tc>
        <w:tc>
          <w:tcPr>
            <w:tcW w:w="246" w:type="pct"/>
            <w:tcBorders>
              <w:top w:val="nil"/>
              <w:left w:val="nil"/>
              <w:bottom w:val="single" w:color="000000" w:sz="8" w:space="0"/>
              <w:right w:val="single" w:color="000000" w:sz="8" w:space="0"/>
            </w:tcBorders>
            <w:shd w:val="clear"/>
            <w:vAlign w:val="center"/>
          </w:tcPr>
          <w:p w14:paraId="42317F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255" w:type="pct"/>
            <w:tcBorders>
              <w:top w:val="single" w:color="000000" w:sz="8" w:space="0"/>
              <w:left w:val="single" w:color="000000" w:sz="8" w:space="0"/>
              <w:bottom w:val="single" w:color="000000" w:sz="8" w:space="0"/>
              <w:right w:val="single" w:color="000000" w:sz="8" w:space="0"/>
            </w:tcBorders>
            <w:shd w:val="clear"/>
            <w:vAlign w:val="center"/>
          </w:tcPr>
          <w:p w14:paraId="301DE8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w:t>
            </w: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48C585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34AA4D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29B394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1FA3E0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91" w:type="pct"/>
            <w:tcBorders>
              <w:top w:val="single" w:color="000000" w:sz="8" w:space="0"/>
              <w:left w:val="single" w:color="000000" w:sz="8" w:space="0"/>
              <w:bottom w:val="single" w:color="000000" w:sz="8" w:space="0"/>
              <w:right w:val="single" w:color="000000" w:sz="8" w:space="0"/>
            </w:tcBorders>
            <w:shd w:val="clear"/>
            <w:vAlign w:val="center"/>
          </w:tcPr>
          <w:p w14:paraId="604AB6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4340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38" w:type="pct"/>
            <w:tcBorders>
              <w:top w:val="nil"/>
              <w:left w:val="single" w:color="000000" w:sz="8" w:space="0"/>
              <w:bottom w:val="single" w:color="000000" w:sz="8" w:space="0"/>
              <w:right w:val="single" w:color="000000" w:sz="8" w:space="0"/>
            </w:tcBorders>
            <w:shd w:val="clear"/>
            <w:vAlign w:val="center"/>
          </w:tcPr>
          <w:p w14:paraId="11BB50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674" w:type="pct"/>
            <w:tcBorders>
              <w:top w:val="nil"/>
              <w:left w:val="nil"/>
              <w:bottom w:val="single" w:color="000000" w:sz="8" w:space="0"/>
              <w:right w:val="single" w:color="000000" w:sz="8" w:space="0"/>
            </w:tcBorders>
            <w:shd w:val="clear"/>
            <w:vAlign w:val="center"/>
          </w:tcPr>
          <w:p w14:paraId="7988E22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垃圾清运</w:t>
            </w:r>
          </w:p>
        </w:tc>
        <w:tc>
          <w:tcPr>
            <w:tcW w:w="2208" w:type="pct"/>
            <w:tcBorders>
              <w:top w:val="nil"/>
              <w:left w:val="nil"/>
              <w:bottom w:val="single" w:color="000000" w:sz="8" w:space="0"/>
              <w:right w:val="single" w:color="000000" w:sz="8" w:space="0"/>
            </w:tcBorders>
            <w:shd w:val="clear"/>
            <w:vAlign w:val="center"/>
          </w:tcPr>
          <w:p w14:paraId="305FB102">
            <w:pPr>
              <w:spacing w:line="240" w:lineRule="auto"/>
              <w:jc w:val="center"/>
              <w:rPr>
                <w:rFonts w:hint="eastAsia" w:ascii="宋体" w:hAnsi="宋体" w:eastAsia="宋体" w:cs="宋体"/>
                <w:i w:val="0"/>
                <w:iCs w:val="0"/>
                <w:color w:val="000000"/>
                <w:sz w:val="21"/>
                <w:szCs w:val="21"/>
                <w:u w:val="none"/>
              </w:rPr>
            </w:pPr>
          </w:p>
        </w:tc>
        <w:tc>
          <w:tcPr>
            <w:tcW w:w="246" w:type="pct"/>
            <w:tcBorders>
              <w:top w:val="nil"/>
              <w:left w:val="nil"/>
              <w:bottom w:val="single" w:color="000000" w:sz="8" w:space="0"/>
              <w:right w:val="single" w:color="000000" w:sz="8" w:space="0"/>
            </w:tcBorders>
            <w:shd w:val="clear"/>
            <w:vAlign w:val="center"/>
          </w:tcPr>
          <w:p w14:paraId="22FC2E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255" w:type="pct"/>
            <w:tcBorders>
              <w:top w:val="single" w:color="000000" w:sz="8" w:space="0"/>
              <w:left w:val="single" w:color="000000" w:sz="8" w:space="0"/>
              <w:bottom w:val="single" w:color="000000" w:sz="8" w:space="0"/>
              <w:right w:val="single" w:color="000000" w:sz="8" w:space="0"/>
            </w:tcBorders>
            <w:shd w:val="clear"/>
            <w:vAlign w:val="center"/>
          </w:tcPr>
          <w:p w14:paraId="05AA7B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351BE2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28" w:type="pct"/>
            <w:tcBorders>
              <w:top w:val="single" w:color="000000" w:sz="8" w:space="0"/>
              <w:left w:val="single" w:color="000000" w:sz="8" w:space="0"/>
              <w:bottom w:val="single" w:color="000000" w:sz="8" w:space="0"/>
              <w:right w:val="single" w:color="000000" w:sz="8" w:space="0"/>
            </w:tcBorders>
            <w:shd w:val="clear"/>
            <w:vAlign w:val="center"/>
          </w:tcPr>
          <w:p w14:paraId="1C2FFB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56C052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64" w:type="pct"/>
            <w:tcBorders>
              <w:top w:val="single" w:color="000000" w:sz="8" w:space="0"/>
              <w:left w:val="single" w:color="000000" w:sz="8" w:space="0"/>
              <w:bottom w:val="single" w:color="000000" w:sz="8" w:space="0"/>
              <w:right w:val="single" w:color="000000" w:sz="8" w:space="0"/>
            </w:tcBorders>
            <w:shd w:val="clear"/>
            <w:vAlign w:val="center"/>
          </w:tcPr>
          <w:p w14:paraId="7D7250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c>
          <w:tcPr>
            <w:tcW w:w="291" w:type="pct"/>
            <w:tcBorders>
              <w:top w:val="single" w:color="000000" w:sz="8" w:space="0"/>
              <w:left w:val="single" w:color="000000" w:sz="8" w:space="0"/>
              <w:bottom w:val="single" w:color="000000" w:sz="8" w:space="0"/>
              <w:right w:val="single" w:color="000000" w:sz="8" w:space="0"/>
            </w:tcBorders>
            <w:shd w:val="clear"/>
            <w:vAlign w:val="center"/>
          </w:tcPr>
          <w:p w14:paraId="044726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p>
        </w:tc>
      </w:tr>
      <w:tr w14:paraId="0203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08" w:type="pct"/>
            <w:gridSpan w:val="9"/>
            <w:tcBorders>
              <w:top w:val="nil"/>
              <w:left w:val="single" w:color="000000" w:sz="8" w:space="0"/>
              <w:bottom w:val="single" w:color="000000" w:sz="8" w:space="0"/>
              <w:right w:val="single" w:color="000000" w:sz="8" w:space="0"/>
            </w:tcBorders>
            <w:shd w:val="clear"/>
            <w:noWrap/>
            <w:vAlign w:val="center"/>
          </w:tcPr>
          <w:p w14:paraId="43EF33E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合计（元）</w:t>
            </w:r>
          </w:p>
        </w:tc>
        <w:tc>
          <w:tcPr>
            <w:tcW w:w="291" w:type="pct"/>
            <w:tcBorders>
              <w:top w:val="single" w:color="000000" w:sz="8" w:space="0"/>
              <w:left w:val="single" w:color="000000" w:sz="8" w:space="0"/>
              <w:bottom w:val="single" w:color="000000" w:sz="8" w:space="0"/>
              <w:right w:val="single" w:color="000000" w:sz="8" w:space="0"/>
            </w:tcBorders>
            <w:shd w:val="clear"/>
            <w:noWrap/>
            <w:vAlign w:val="center"/>
          </w:tcPr>
          <w:p w14:paraId="633982D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p>
        </w:tc>
      </w:tr>
      <w:tr w14:paraId="0AF30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012" w:type="pct"/>
            <w:gridSpan w:val="2"/>
            <w:tcBorders>
              <w:top w:val="nil"/>
              <w:left w:val="single" w:color="000000" w:sz="8" w:space="0"/>
              <w:bottom w:val="single" w:color="000000" w:sz="8" w:space="0"/>
              <w:right w:val="single" w:color="000000" w:sz="8" w:space="0"/>
            </w:tcBorders>
            <w:shd w:val="clear"/>
            <w:noWrap/>
            <w:vAlign w:val="center"/>
          </w:tcPr>
          <w:p w14:paraId="54EF2A3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编制说明</w:t>
            </w:r>
          </w:p>
        </w:tc>
        <w:tc>
          <w:tcPr>
            <w:tcW w:w="3987" w:type="pct"/>
            <w:gridSpan w:val="8"/>
            <w:tcBorders>
              <w:top w:val="nil"/>
              <w:left w:val="nil"/>
              <w:bottom w:val="single" w:color="000000" w:sz="8" w:space="0"/>
              <w:right w:val="single" w:color="000000" w:sz="8" w:space="0"/>
            </w:tcBorders>
            <w:shd w:val="clear"/>
            <w:vAlign w:val="center"/>
          </w:tcPr>
          <w:p w14:paraId="6E9C7BFE">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1、具体情况及尺寸由报价单位现场踏勘后综合考虑报价；2、请按项目分别报价。3、施工期间安全责任由中标单位自行负责，发生任何安全事故与招标单位无关。</w:t>
            </w:r>
          </w:p>
        </w:tc>
      </w:tr>
      <w:tr w14:paraId="2F81E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38" w:type="pct"/>
            <w:tcBorders>
              <w:top w:val="nil"/>
              <w:left w:val="nil"/>
              <w:bottom w:val="nil"/>
              <w:right w:val="nil"/>
            </w:tcBorders>
            <w:shd w:val="clear"/>
            <w:noWrap/>
            <w:vAlign w:val="center"/>
          </w:tcPr>
          <w:p w14:paraId="1528EA1B">
            <w:pPr>
              <w:spacing w:line="240" w:lineRule="auto"/>
              <w:rPr>
                <w:rFonts w:hint="eastAsia" w:ascii="宋体" w:hAnsi="宋体" w:eastAsia="宋体" w:cs="宋体"/>
                <w:i w:val="0"/>
                <w:iCs w:val="0"/>
                <w:color w:val="000000"/>
                <w:sz w:val="24"/>
                <w:szCs w:val="24"/>
                <w:u w:val="none"/>
                <w:lang w:val="en-US" w:eastAsia="zh-CN"/>
              </w:rPr>
            </w:pPr>
          </w:p>
        </w:tc>
        <w:tc>
          <w:tcPr>
            <w:tcW w:w="674" w:type="pct"/>
            <w:tcBorders>
              <w:top w:val="nil"/>
              <w:left w:val="nil"/>
              <w:bottom w:val="nil"/>
              <w:right w:val="nil"/>
            </w:tcBorders>
            <w:shd w:val="clear"/>
            <w:noWrap/>
            <w:vAlign w:val="center"/>
          </w:tcPr>
          <w:p w14:paraId="234AA262">
            <w:pPr>
              <w:keepNext w:val="0"/>
              <w:keepLines w:val="0"/>
              <w:widowControl/>
              <w:suppressLineNumbers w:val="0"/>
              <w:spacing w:line="240" w:lineRule="auto"/>
              <w:jc w:val="both"/>
              <w:textAlignment w:val="center"/>
              <w:rPr>
                <w:rFonts w:hint="eastAsia" w:ascii="宋体" w:hAnsi="宋体" w:eastAsia="宋体" w:cs="宋体"/>
                <w:i w:val="0"/>
                <w:iCs w:val="0"/>
                <w:color w:val="000000"/>
                <w:sz w:val="24"/>
                <w:szCs w:val="24"/>
                <w:u w:val="none"/>
              </w:rPr>
            </w:pPr>
          </w:p>
        </w:tc>
        <w:tc>
          <w:tcPr>
            <w:tcW w:w="2208" w:type="pct"/>
            <w:tcBorders>
              <w:top w:val="nil"/>
              <w:left w:val="nil"/>
              <w:bottom w:val="nil"/>
              <w:right w:val="nil"/>
            </w:tcBorders>
            <w:shd w:val="clear"/>
            <w:noWrap/>
            <w:vAlign w:val="center"/>
          </w:tcPr>
          <w:p w14:paraId="3696E536">
            <w:pPr>
              <w:spacing w:line="240" w:lineRule="auto"/>
              <w:jc w:val="center"/>
              <w:rPr>
                <w:rFonts w:hint="eastAsia" w:ascii="宋体" w:hAnsi="宋体" w:eastAsia="宋体" w:cs="宋体"/>
                <w:i w:val="0"/>
                <w:iCs w:val="0"/>
                <w:color w:val="000000"/>
                <w:sz w:val="24"/>
                <w:szCs w:val="24"/>
                <w:u w:val="none"/>
              </w:rPr>
            </w:pPr>
          </w:p>
        </w:tc>
        <w:tc>
          <w:tcPr>
            <w:tcW w:w="246" w:type="pct"/>
            <w:tcBorders>
              <w:top w:val="nil"/>
              <w:left w:val="nil"/>
              <w:bottom w:val="nil"/>
              <w:right w:val="nil"/>
            </w:tcBorders>
            <w:shd w:val="clear"/>
            <w:noWrap/>
            <w:vAlign w:val="center"/>
          </w:tcPr>
          <w:p w14:paraId="67F67F92">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p>
        </w:tc>
        <w:tc>
          <w:tcPr>
            <w:tcW w:w="255" w:type="pct"/>
            <w:tcBorders>
              <w:top w:val="nil"/>
              <w:left w:val="nil"/>
              <w:bottom w:val="nil"/>
              <w:right w:val="nil"/>
            </w:tcBorders>
            <w:shd w:val="clear"/>
            <w:noWrap/>
            <w:vAlign w:val="center"/>
          </w:tcPr>
          <w:p w14:paraId="28A50CBD">
            <w:pPr>
              <w:spacing w:line="240" w:lineRule="auto"/>
              <w:rPr>
                <w:rFonts w:hint="eastAsia" w:ascii="宋体" w:hAnsi="宋体" w:eastAsia="宋体" w:cs="宋体"/>
                <w:i w:val="0"/>
                <w:iCs w:val="0"/>
                <w:color w:val="000000"/>
                <w:sz w:val="24"/>
                <w:szCs w:val="24"/>
                <w:u w:val="none"/>
              </w:rPr>
            </w:pPr>
          </w:p>
        </w:tc>
        <w:tc>
          <w:tcPr>
            <w:tcW w:w="228" w:type="pct"/>
            <w:tcBorders>
              <w:top w:val="nil"/>
              <w:left w:val="nil"/>
              <w:bottom w:val="nil"/>
              <w:right w:val="nil"/>
            </w:tcBorders>
            <w:shd w:val="clear"/>
            <w:noWrap/>
            <w:vAlign w:val="center"/>
          </w:tcPr>
          <w:p w14:paraId="31F27940">
            <w:pPr>
              <w:spacing w:line="240" w:lineRule="auto"/>
              <w:rPr>
                <w:rFonts w:hint="eastAsia" w:ascii="宋体" w:hAnsi="宋体" w:eastAsia="宋体" w:cs="宋体"/>
                <w:i w:val="0"/>
                <w:iCs w:val="0"/>
                <w:color w:val="000000"/>
                <w:sz w:val="24"/>
                <w:szCs w:val="24"/>
                <w:u w:val="none"/>
              </w:rPr>
            </w:pPr>
          </w:p>
        </w:tc>
        <w:tc>
          <w:tcPr>
            <w:tcW w:w="228" w:type="pct"/>
            <w:tcBorders>
              <w:top w:val="nil"/>
              <w:left w:val="nil"/>
              <w:bottom w:val="nil"/>
              <w:right w:val="nil"/>
            </w:tcBorders>
            <w:shd w:val="clear"/>
            <w:noWrap/>
            <w:vAlign w:val="center"/>
          </w:tcPr>
          <w:p w14:paraId="73818936">
            <w:pPr>
              <w:spacing w:line="240" w:lineRule="auto"/>
              <w:rPr>
                <w:rFonts w:hint="eastAsia" w:ascii="宋体" w:hAnsi="宋体" w:eastAsia="宋体" w:cs="宋体"/>
                <w:i w:val="0"/>
                <w:iCs w:val="0"/>
                <w:color w:val="000000"/>
                <w:sz w:val="24"/>
                <w:szCs w:val="24"/>
                <w:u w:val="none"/>
              </w:rPr>
            </w:pPr>
          </w:p>
        </w:tc>
        <w:tc>
          <w:tcPr>
            <w:tcW w:w="264" w:type="pct"/>
            <w:tcBorders>
              <w:top w:val="nil"/>
              <w:left w:val="nil"/>
              <w:bottom w:val="nil"/>
              <w:right w:val="nil"/>
            </w:tcBorders>
            <w:shd w:val="clear"/>
            <w:noWrap/>
            <w:vAlign w:val="center"/>
          </w:tcPr>
          <w:p w14:paraId="148F1788">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p>
        </w:tc>
        <w:tc>
          <w:tcPr>
            <w:tcW w:w="264" w:type="pct"/>
            <w:tcBorders>
              <w:top w:val="nil"/>
              <w:left w:val="nil"/>
              <w:bottom w:val="nil"/>
              <w:right w:val="nil"/>
            </w:tcBorders>
            <w:shd w:val="clear"/>
            <w:noWrap/>
            <w:vAlign w:val="center"/>
          </w:tcPr>
          <w:p w14:paraId="0D459F7F">
            <w:pPr>
              <w:spacing w:line="240" w:lineRule="auto"/>
              <w:rPr>
                <w:rFonts w:hint="eastAsia" w:ascii="宋体" w:hAnsi="宋体" w:eastAsia="宋体" w:cs="宋体"/>
                <w:i w:val="0"/>
                <w:iCs w:val="0"/>
                <w:color w:val="000000"/>
                <w:sz w:val="24"/>
                <w:szCs w:val="24"/>
                <w:u w:val="none"/>
              </w:rPr>
            </w:pPr>
          </w:p>
        </w:tc>
        <w:tc>
          <w:tcPr>
            <w:tcW w:w="291" w:type="pct"/>
            <w:tcBorders>
              <w:top w:val="nil"/>
              <w:left w:val="nil"/>
              <w:bottom w:val="nil"/>
              <w:right w:val="nil"/>
            </w:tcBorders>
            <w:shd w:val="clear"/>
            <w:noWrap/>
            <w:vAlign w:val="center"/>
          </w:tcPr>
          <w:p w14:paraId="65E9DF9E">
            <w:pPr>
              <w:spacing w:line="240" w:lineRule="auto"/>
              <w:rPr>
                <w:rFonts w:hint="eastAsia" w:ascii="宋体" w:hAnsi="宋体" w:eastAsia="宋体" w:cs="宋体"/>
                <w:i w:val="0"/>
                <w:iCs w:val="0"/>
                <w:color w:val="000000"/>
                <w:sz w:val="24"/>
                <w:szCs w:val="24"/>
                <w:u w:val="none"/>
              </w:rPr>
            </w:pPr>
          </w:p>
        </w:tc>
      </w:tr>
    </w:tbl>
    <w:p w14:paraId="2E5425BB">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报价单位：</w:t>
      </w:r>
    </w:p>
    <w:p w14:paraId="3C384140">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联系人：</w:t>
      </w:r>
    </w:p>
    <w:p w14:paraId="48B5ADB8">
      <w:pPr>
        <w:rPr>
          <w:rFonts w:hint="default" w:ascii="仿宋" w:hAnsi="仿宋" w:eastAsia="仿宋"/>
          <w:sz w:val="32"/>
          <w:szCs w:val="32"/>
          <w:lang w:val="en-US" w:eastAsia="zh-CN"/>
        </w:rPr>
      </w:pPr>
      <w:r>
        <w:rPr>
          <w:rFonts w:hint="eastAsia" w:ascii="仿宋" w:hAnsi="仿宋" w:eastAsia="仿宋"/>
          <w:b/>
          <w:bCs/>
          <w:sz w:val="28"/>
          <w:szCs w:val="28"/>
          <w:lang w:val="en-US" w:eastAsia="zh-CN"/>
        </w:rPr>
        <w:t>报价时间：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A436089"/>
    <w:rsid w:val="1D7E47CC"/>
    <w:rsid w:val="1EE92A08"/>
    <w:rsid w:val="21294361"/>
    <w:rsid w:val="21BD09EA"/>
    <w:rsid w:val="24877D1C"/>
    <w:rsid w:val="261F562C"/>
    <w:rsid w:val="268E37D0"/>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7FA7A08"/>
    <w:rsid w:val="5A1E41A4"/>
    <w:rsid w:val="5BB45DCE"/>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1082</Words>
  <Characters>1121</Characters>
  <Lines>8</Lines>
  <Paragraphs>2</Paragraphs>
  <TotalTime>103</TotalTime>
  <ScaleCrop>false</ScaleCrop>
  <LinksUpToDate>false</LinksUpToDate>
  <CharactersWithSpaces>1124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2025-08-04T04:22:00Z</cp:lastPrinted>
  <dcterms:modified xsi:type="dcterms:W3CDTF">2025-09-01T02:27:51Z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40185C0F8F344D4FA2D2FE28E5A1590E_13</vt:lpwstr>
  </property>
  <property fmtid="{D5CDD505-2E9C-101B-9397-08002B2CF9AE}" pid="4" name="KSOTemplateDocerSaveRecord">
    <vt:lpwstr>eyJoZGlkIjoiNzdlMDVkNDYwYmZkNTE5NGQ0ZTdiYzI2ZDFhMjhiMWQiLCJ1c2VySWQiOiI4MDQyODQ1MTkifQ==</vt:lpwstr>
  </property>
</Properties>
</file>