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CC5F7">
      <w:pPr>
        <w:ind w:left="3080" w:hanging="3080" w:hangingChars="700"/>
        <w:jc w:val="both"/>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外科楼一楼信息处容灾机房UPS维修</w:t>
      </w:r>
      <w:r>
        <w:rPr>
          <w:rFonts w:hint="eastAsia" w:ascii="方正小标宋简体" w:hAnsi="仿宋" w:eastAsia="方正小标宋简体"/>
          <w:sz w:val="44"/>
          <w:szCs w:val="44"/>
        </w:rPr>
        <w:t>项目比价方案</w:t>
      </w:r>
    </w:p>
    <w:p w14:paraId="3E9819C4">
      <w:pPr>
        <w:ind w:firstLine="600" w:firstLineChars="200"/>
        <w:rPr>
          <w:rFonts w:hint="default" w:ascii="仿宋" w:hAnsi="仿宋" w:eastAsia="仿宋"/>
          <w:sz w:val="30"/>
          <w:szCs w:val="30"/>
          <w:lang w:val="en-US" w:eastAsia="zh-CN"/>
        </w:rPr>
      </w:pPr>
      <w:r>
        <w:rPr>
          <w:rFonts w:hint="eastAsia" w:ascii="黑体" w:hAnsi="黑体" w:eastAsia="黑体"/>
          <w:sz w:val="30"/>
          <w:szCs w:val="30"/>
        </w:rPr>
        <w:t>一、项目名称</w:t>
      </w:r>
      <w:r>
        <w:rPr>
          <w:rFonts w:hint="eastAsia" w:ascii="仿宋" w:hAnsi="仿宋" w:eastAsia="仿宋"/>
          <w:sz w:val="30"/>
          <w:szCs w:val="30"/>
        </w:rPr>
        <w:t>：</w:t>
      </w:r>
      <w:r>
        <w:rPr>
          <w:rFonts w:hint="eastAsia" w:ascii="仿宋" w:hAnsi="仿宋" w:eastAsia="仿宋"/>
          <w:sz w:val="30"/>
          <w:szCs w:val="30"/>
          <w:lang w:eastAsia="zh-CN"/>
        </w:rPr>
        <w:t>外科楼一楼信息处容灾机房</w:t>
      </w:r>
      <w:r>
        <w:rPr>
          <w:rFonts w:hint="eastAsia" w:ascii="仿宋" w:hAnsi="仿宋" w:eastAsia="仿宋"/>
          <w:sz w:val="30"/>
          <w:szCs w:val="30"/>
          <w:lang w:val="en-US" w:eastAsia="zh-CN"/>
        </w:rPr>
        <w:t>UPS维修</w:t>
      </w:r>
    </w:p>
    <w:p w14:paraId="207E65F3">
      <w:pPr>
        <w:ind w:firstLine="600" w:firstLineChars="200"/>
        <w:rPr>
          <w:rFonts w:ascii="仿宋" w:hAnsi="仿宋" w:eastAsia="仿宋"/>
          <w:sz w:val="30"/>
          <w:szCs w:val="30"/>
        </w:rPr>
      </w:pPr>
      <w:r>
        <w:rPr>
          <w:rFonts w:hint="eastAsia" w:ascii="黑体" w:hAnsi="黑体" w:eastAsia="黑体"/>
          <w:sz w:val="30"/>
          <w:szCs w:val="30"/>
        </w:rPr>
        <w:t>二、项目概况及要求</w:t>
      </w:r>
      <w:r>
        <w:rPr>
          <w:rFonts w:hint="eastAsia" w:ascii="仿宋" w:hAnsi="仿宋" w:eastAsia="仿宋"/>
          <w:sz w:val="30"/>
          <w:szCs w:val="30"/>
        </w:rPr>
        <w:t>：</w:t>
      </w:r>
    </w:p>
    <w:p w14:paraId="11EA9608">
      <w:pPr>
        <w:ind w:firstLine="600" w:firstLineChars="200"/>
        <w:rPr>
          <w:rFonts w:hint="default" w:ascii="仿宋" w:hAnsi="仿宋" w:eastAsia="仿宋"/>
          <w:color w:val="000000" w:themeColor="text1"/>
          <w:sz w:val="30"/>
          <w:szCs w:val="30"/>
          <w:lang w:val="en-US" w:eastAsia="zh-CN"/>
          <w14:textFill>
            <w14:solidFill>
              <w14:schemeClr w14:val="tx1"/>
            </w14:solidFill>
          </w14:textFill>
        </w:rPr>
      </w:pPr>
      <w:r>
        <w:rPr>
          <w:rFonts w:hint="eastAsia" w:ascii="楷体" w:hAnsi="楷体" w:eastAsia="楷体"/>
          <w:sz w:val="30"/>
          <w:szCs w:val="30"/>
        </w:rPr>
        <w:t>㈠项目概况</w:t>
      </w:r>
      <w:r>
        <w:rPr>
          <w:rFonts w:hint="eastAsia" w:ascii="仿宋" w:hAnsi="仿宋" w:eastAsia="仿宋"/>
          <w:sz w:val="30"/>
          <w:szCs w:val="30"/>
        </w:rPr>
        <w:t>：</w:t>
      </w:r>
      <w:r>
        <w:rPr>
          <w:rFonts w:hint="eastAsia" w:ascii="仿宋" w:hAnsi="仿宋" w:eastAsia="仿宋"/>
          <w:sz w:val="30"/>
          <w:szCs w:val="30"/>
          <w:lang w:eastAsia="zh-CN"/>
        </w:rPr>
        <w:t>外科楼一楼信息处容灾机房</w:t>
      </w:r>
      <w:r>
        <w:rPr>
          <w:rFonts w:hint="eastAsia" w:ascii="仿宋" w:hAnsi="仿宋" w:eastAsia="仿宋"/>
          <w:sz w:val="30"/>
          <w:szCs w:val="30"/>
          <w:lang w:val="en-US" w:eastAsia="zh-CN"/>
        </w:rPr>
        <w:t>UPS（品牌：科华）报警，显示单元1故障，部分单元未逆变输出。须进行维修（自行现场勘查）。</w:t>
      </w:r>
    </w:p>
    <w:p w14:paraId="42998EDF">
      <w:pPr>
        <w:ind w:firstLine="600" w:firstLineChars="200"/>
        <w:rPr>
          <w:rFonts w:hint="eastAsia" w:ascii="仿宋" w:hAnsi="仿宋" w:eastAsia="仿宋"/>
          <w:sz w:val="30"/>
          <w:szCs w:val="30"/>
        </w:rPr>
      </w:pPr>
      <w:r>
        <w:rPr>
          <w:rFonts w:hint="eastAsia" w:ascii="楷体" w:hAnsi="楷体" w:eastAsia="楷体"/>
          <w:sz w:val="30"/>
          <w:szCs w:val="30"/>
        </w:rPr>
        <w:t>㈡施工要求</w:t>
      </w:r>
      <w:r>
        <w:rPr>
          <w:rFonts w:hint="eastAsia" w:ascii="仿宋" w:hAnsi="仿宋" w:eastAsia="仿宋"/>
          <w:sz w:val="30"/>
          <w:szCs w:val="30"/>
        </w:rPr>
        <w:t>：</w:t>
      </w:r>
    </w:p>
    <w:p w14:paraId="376082D1">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1如需更换配件必须保证配件与原UPS设备相同；</w:t>
      </w:r>
    </w:p>
    <w:p w14:paraId="03AF29B8">
      <w:pPr>
        <w:numPr>
          <w:ilvl w:val="0"/>
          <w:numId w:val="0"/>
        </w:num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2.维修过程包含对UPS整机进行系统的检修及调试；</w:t>
      </w:r>
    </w:p>
    <w:p w14:paraId="08EAC0ED">
      <w:pPr>
        <w:numPr>
          <w:ilvl w:val="0"/>
          <w:numId w:val="0"/>
        </w:numPr>
        <w:ind w:firstLine="600" w:firstLineChars="200"/>
        <w:rPr>
          <w:rFonts w:ascii="仿宋" w:hAnsi="仿宋" w:eastAsia="仿宋"/>
          <w:sz w:val="30"/>
          <w:szCs w:val="30"/>
          <w:lang w:val="zh-CN"/>
        </w:rPr>
      </w:pPr>
      <w:r>
        <w:rPr>
          <w:rFonts w:hint="eastAsia" w:ascii="仿宋" w:hAnsi="仿宋" w:eastAsia="仿宋" w:cs="仿宋"/>
          <w:sz w:val="30"/>
          <w:szCs w:val="30"/>
          <w:lang w:val="en-US" w:eastAsia="zh-CN"/>
        </w:rPr>
        <w:t>3.</w:t>
      </w:r>
      <w:r>
        <w:rPr>
          <w:rFonts w:hint="eastAsia" w:ascii="仿宋" w:hAnsi="仿宋" w:eastAsia="仿宋"/>
          <w:sz w:val="30"/>
          <w:szCs w:val="30"/>
          <w:lang w:val="zh-CN"/>
        </w:rPr>
        <w:t>施工过程中不得损坏任何设备，保证机房内所有设备正常工作，尽可能减少噪音，</w:t>
      </w:r>
      <w:r>
        <w:rPr>
          <w:rFonts w:hint="eastAsia" w:ascii="仿宋" w:hAnsi="仿宋" w:eastAsia="仿宋"/>
          <w:sz w:val="30"/>
          <w:szCs w:val="30"/>
          <w:lang w:val="en-US" w:eastAsia="zh-CN"/>
        </w:rPr>
        <w:t>垃圾人工清理外运（损坏配件交院方）。</w:t>
      </w:r>
    </w:p>
    <w:p w14:paraId="44C3E42E">
      <w:pPr>
        <w:numPr>
          <w:ilvl w:val="0"/>
          <w:numId w:val="0"/>
        </w:numPr>
        <w:ind w:firstLine="600" w:firstLineChars="200"/>
        <w:rPr>
          <w:rFonts w:ascii="仿宋" w:hAnsi="仿宋" w:eastAsia="仿宋"/>
          <w:sz w:val="30"/>
          <w:szCs w:val="30"/>
          <w:lang w:val="zh-CN"/>
        </w:rPr>
      </w:pPr>
      <w:r>
        <w:rPr>
          <w:rFonts w:hint="eastAsia" w:ascii="仿宋" w:hAnsi="仿宋" w:eastAsia="仿宋" w:cs="仿宋"/>
          <w:sz w:val="30"/>
          <w:szCs w:val="30"/>
          <w:lang w:val="en-US" w:eastAsia="zh-CN"/>
        </w:rPr>
        <w:t>4.施工时，施工人员安全及施工场所人员安全由施工方负责，和施工单位没有任何关系。</w:t>
      </w:r>
    </w:p>
    <w:p w14:paraId="2C7FAC08">
      <w:pPr>
        <w:ind w:firstLine="600" w:firstLineChars="200"/>
        <w:rPr>
          <w:rFonts w:ascii="仿宋" w:hAnsi="仿宋" w:eastAsia="仿宋"/>
          <w:sz w:val="30"/>
          <w:szCs w:val="30"/>
        </w:rPr>
      </w:pPr>
      <w:r>
        <w:rPr>
          <w:rFonts w:hint="eastAsia" w:ascii="楷体" w:hAnsi="楷体" w:eastAsia="楷体"/>
          <w:sz w:val="30"/>
          <w:szCs w:val="30"/>
        </w:rPr>
        <w:t>㈢质保期</w:t>
      </w:r>
      <w:r>
        <w:rPr>
          <w:rFonts w:hint="eastAsia" w:ascii="仿宋" w:hAnsi="仿宋" w:eastAsia="仿宋"/>
          <w:sz w:val="30"/>
          <w:szCs w:val="30"/>
        </w:rPr>
        <w:t>：</w:t>
      </w:r>
    </w:p>
    <w:p w14:paraId="4BF65993">
      <w:pPr>
        <w:ind w:firstLine="600" w:firstLineChars="200"/>
        <w:rPr>
          <w:rFonts w:hint="default" w:ascii="仿宋" w:hAnsi="仿宋" w:eastAsia="仿宋"/>
          <w:b/>
          <w:color w:val="000000" w:themeColor="text1"/>
          <w:sz w:val="30"/>
          <w:szCs w:val="30"/>
          <w:lang w:val="en-US" w:eastAsia="zh-CN"/>
          <w14:textFill>
            <w14:solidFill>
              <w14:schemeClr w14:val="tx1"/>
            </w14:solidFill>
          </w14:textFill>
        </w:rPr>
      </w:pPr>
      <w:r>
        <w:rPr>
          <w:rFonts w:hint="eastAsia" w:ascii="仿宋" w:hAnsi="仿宋" w:eastAsia="仿宋"/>
          <w:sz w:val="30"/>
          <w:szCs w:val="30"/>
        </w:rPr>
        <w:t>本项目质保期为</w:t>
      </w:r>
      <w:r>
        <w:rPr>
          <w:rFonts w:hint="eastAsia" w:ascii="仿宋" w:hAnsi="仿宋" w:eastAsia="仿宋"/>
          <w:sz w:val="30"/>
          <w:szCs w:val="30"/>
          <w:lang w:val="en-US" w:eastAsia="zh-CN"/>
        </w:rPr>
        <w:t>3年</w:t>
      </w:r>
      <w:r>
        <w:rPr>
          <w:rFonts w:hint="eastAsia" w:ascii="仿宋" w:hAnsi="仿宋" w:eastAsia="仿宋"/>
          <w:sz w:val="30"/>
          <w:szCs w:val="30"/>
        </w:rPr>
        <w:t>（自验收合格之日起计），质保期内若出现非人为因素损坏，施工单位负责进行维修。</w:t>
      </w:r>
      <w:r>
        <w:rPr>
          <w:rFonts w:hint="eastAsia" w:ascii="仿宋" w:hAnsi="仿宋" w:eastAsia="仿宋"/>
          <w:sz w:val="30"/>
          <w:szCs w:val="30"/>
          <w:lang w:eastAsia="zh-CN"/>
        </w:rPr>
        <w:t>★</w:t>
      </w:r>
      <w:r>
        <w:rPr>
          <w:rFonts w:hint="eastAsia" w:ascii="仿宋" w:hAnsi="仿宋" w:eastAsia="仿宋"/>
          <w:sz w:val="30"/>
          <w:szCs w:val="30"/>
          <w:lang w:val="en-US" w:eastAsia="zh-CN"/>
        </w:rPr>
        <w:t>投标时须提供厂商针对本项目的授权及质保函。</w:t>
      </w:r>
    </w:p>
    <w:p w14:paraId="0A8B5B44">
      <w:pPr>
        <w:ind w:firstLine="600" w:firstLineChars="200"/>
        <w:rPr>
          <w:rFonts w:ascii="仿宋" w:hAnsi="仿宋" w:eastAsia="仿宋"/>
          <w:sz w:val="30"/>
          <w:szCs w:val="30"/>
        </w:rPr>
      </w:pPr>
      <w:r>
        <w:rPr>
          <w:rFonts w:hint="eastAsia" w:ascii="楷体" w:hAnsi="楷体" w:eastAsia="楷体"/>
          <w:sz w:val="30"/>
          <w:szCs w:val="30"/>
        </w:rPr>
        <w:t>㈣费用结算</w:t>
      </w:r>
      <w:r>
        <w:rPr>
          <w:rFonts w:hint="eastAsia" w:ascii="仿宋" w:hAnsi="仿宋" w:eastAsia="仿宋"/>
          <w:sz w:val="30"/>
          <w:szCs w:val="30"/>
        </w:rPr>
        <w:t>：</w:t>
      </w:r>
    </w:p>
    <w:p w14:paraId="4738D879">
      <w:pPr>
        <w:ind w:firstLine="600" w:firstLineChars="200"/>
        <w:rPr>
          <w:rFonts w:ascii="仿宋" w:hAnsi="仿宋" w:eastAsia="仿宋"/>
          <w:sz w:val="30"/>
          <w:szCs w:val="30"/>
        </w:rPr>
      </w:pPr>
      <w:r>
        <w:rPr>
          <w:rFonts w:hint="eastAsia" w:ascii="仿宋" w:hAnsi="仿宋" w:eastAsia="仿宋"/>
          <w:sz w:val="30"/>
          <w:szCs w:val="30"/>
        </w:rPr>
        <w:t>1.投标报价为一口价，包含整个项目中产生的材料费、人工费等所有费用。</w:t>
      </w:r>
    </w:p>
    <w:p w14:paraId="319684A6">
      <w:pPr>
        <w:ind w:firstLine="600" w:firstLineChars="200"/>
        <w:rPr>
          <w:rFonts w:ascii="仿宋" w:hAnsi="仿宋" w:eastAsia="仿宋"/>
          <w:sz w:val="30"/>
          <w:szCs w:val="30"/>
        </w:rPr>
      </w:pPr>
      <w:r>
        <w:rPr>
          <w:rFonts w:hint="eastAsia" w:ascii="仿宋" w:hAnsi="仿宋" w:eastAsia="仿宋"/>
          <w:sz w:val="30"/>
          <w:szCs w:val="30"/>
        </w:rPr>
        <w:t>2.施工结束，经验收合格，</w:t>
      </w:r>
      <w:r>
        <w:rPr>
          <w:rFonts w:hint="eastAsia" w:ascii="仿宋" w:hAnsi="仿宋" w:eastAsia="仿宋"/>
          <w:sz w:val="30"/>
          <w:szCs w:val="30"/>
          <w:lang w:val="en-US" w:eastAsia="zh-CN"/>
        </w:rPr>
        <w:t>3个月后</w:t>
      </w:r>
      <w:r>
        <w:rPr>
          <w:rFonts w:hint="eastAsia" w:ascii="仿宋" w:hAnsi="仿宋" w:eastAsia="仿宋"/>
          <w:sz w:val="30"/>
          <w:szCs w:val="30"/>
        </w:rPr>
        <w:t>付款。</w:t>
      </w:r>
    </w:p>
    <w:p w14:paraId="4CBF8CBE">
      <w:pPr>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中标单位中标后因故不能完成或</w:t>
      </w:r>
      <w:r>
        <w:rPr>
          <w:rFonts w:hint="eastAsia" w:ascii="仿宋" w:hAnsi="仿宋" w:eastAsia="仿宋"/>
          <w:sz w:val="30"/>
          <w:szCs w:val="30"/>
        </w:rPr>
        <w:t>质保期内未能及时响应且给招标单位造成不良后果的将被列入黑名单，不再允许参加招标单位各类招标项目。</w:t>
      </w:r>
    </w:p>
    <w:p w14:paraId="42688BDB">
      <w:pPr>
        <w:ind w:firstLine="600" w:firstLineChars="200"/>
        <w:rPr>
          <w:rFonts w:ascii="仿宋" w:hAnsi="仿宋" w:eastAsia="仿宋"/>
          <w:sz w:val="30"/>
          <w:szCs w:val="30"/>
        </w:rPr>
      </w:pPr>
      <w:r>
        <w:rPr>
          <w:rFonts w:hint="eastAsia" w:ascii="黑体" w:hAnsi="黑体" w:eastAsia="黑体"/>
          <w:sz w:val="30"/>
          <w:szCs w:val="30"/>
        </w:rPr>
        <w:t>三、投标人资质要求</w:t>
      </w:r>
      <w:r>
        <w:rPr>
          <w:rFonts w:hint="eastAsia" w:ascii="仿宋" w:hAnsi="仿宋" w:eastAsia="仿宋"/>
          <w:sz w:val="30"/>
          <w:szCs w:val="30"/>
        </w:rPr>
        <w:t>：</w:t>
      </w:r>
    </w:p>
    <w:p w14:paraId="56A462C9">
      <w:pPr>
        <w:pStyle w:val="5"/>
        <w:shd w:val="clear" w:color="auto" w:fill="FFFFFF"/>
        <w:spacing w:before="0" w:beforeAutospacing="0" w:after="0" w:afterAutospacing="0"/>
        <w:ind w:firstLine="54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1.持有效的营业执照，经营范围包含本项目的内容（做过类似项目的公司可优先考虑）;</w:t>
      </w:r>
    </w:p>
    <w:p w14:paraId="62E0A385">
      <w:pPr>
        <w:ind w:firstLine="600" w:firstLineChars="200"/>
        <w:rPr>
          <w:rFonts w:hint="default" w:ascii="仿宋" w:hAnsi="仿宋" w:eastAsia="仿宋"/>
          <w:b/>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sz w:val="30"/>
          <w:szCs w:val="30"/>
          <w:lang w:val="en-US" w:eastAsia="zh-CN"/>
        </w:rPr>
        <w:t>投标时须提供厂商针对本项目的授权及质保函。</w:t>
      </w:r>
    </w:p>
    <w:p w14:paraId="70B5CD36">
      <w:pPr>
        <w:pStyle w:val="5"/>
        <w:shd w:val="clear" w:color="auto" w:fill="FFFFFF"/>
        <w:spacing w:before="0" w:beforeAutospacing="0" w:after="0" w:afterAutospacing="0"/>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.本项目不接受联合体投标，不得转包、分包；</w:t>
      </w:r>
    </w:p>
    <w:p w14:paraId="6CE18099">
      <w:pPr>
        <w:pStyle w:val="5"/>
        <w:shd w:val="clear" w:color="auto" w:fill="FFFFFF"/>
        <w:spacing w:before="0" w:beforeAutospacing="0" w:after="0" w:afterAutospacing="0"/>
        <w:ind w:firstLine="600" w:firstLineChars="200"/>
        <w:rPr>
          <w:rFonts w:ascii="仿宋" w:hAnsi="仿宋" w:eastAsia="仿宋"/>
          <w:color w:val="000000" w:themeColor="text1"/>
          <w:sz w:val="30"/>
          <w:szCs w:val="30"/>
          <w14:textFill>
            <w14:solidFill>
              <w14:schemeClr w14:val="tx1"/>
            </w14:solidFill>
          </w14:textFill>
        </w:rPr>
      </w:pPr>
      <w:bookmarkStart w:id="0" w:name="_GoBack"/>
      <w:bookmarkEnd w:id="0"/>
      <w:r>
        <w:rPr>
          <w:rFonts w:hint="eastAsia" w:ascii="仿宋" w:hAnsi="仿宋" w:eastAsia="仿宋"/>
          <w:color w:val="000000" w:themeColor="text1"/>
          <w:sz w:val="30"/>
          <w:szCs w:val="30"/>
          <w:lang w:val="en-US" w:eastAsia="zh-CN"/>
          <w14:textFill>
            <w14:solidFill>
              <w14:schemeClr w14:val="tx1"/>
            </w14:solidFill>
          </w14:textFill>
        </w:rPr>
        <w:t>4</w:t>
      </w:r>
      <w:r>
        <w:rPr>
          <w:rFonts w:hint="eastAsia" w:ascii="仿宋" w:hAnsi="仿宋" w:eastAsia="仿宋"/>
          <w:color w:val="000000" w:themeColor="text1"/>
          <w:sz w:val="30"/>
          <w:szCs w:val="30"/>
          <w14:textFill>
            <w14:solidFill>
              <w14:schemeClr w14:val="tx1"/>
            </w14:solidFill>
          </w14:textFill>
        </w:rPr>
        <w:t>.法律、行政法规规定的其他条件。</w:t>
      </w:r>
    </w:p>
    <w:p w14:paraId="57729DB2">
      <w:pPr>
        <w:adjustRightInd w:val="0"/>
        <w:spacing w:line="480" w:lineRule="exact"/>
        <w:ind w:firstLine="602" w:firstLineChars="200"/>
        <w:jc w:val="left"/>
        <w:rPr>
          <w:rFonts w:ascii="仿宋" w:hAnsi="仿宋" w:eastAsia="仿宋"/>
          <w:color w:val="000000"/>
          <w:sz w:val="30"/>
          <w:szCs w:val="30"/>
        </w:rPr>
      </w:pPr>
      <w:r>
        <w:rPr>
          <w:rFonts w:hint="eastAsia" w:ascii="仿宋" w:hAnsi="仿宋" w:eastAsia="仿宋"/>
          <w:b/>
          <w:color w:val="000000"/>
          <w:sz w:val="30"/>
          <w:szCs w:val="30"/>
        </w:rPr>
        <w:t>四、资格审查方式及特殊情况说明：</w:t>
      </w:r>
    </w:p>
    <w:p w14:paraId="737CF45C">
      <w:pPr>
        <w:adjustRightInd w:val="0"/>
        <w:spacing w:line="50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本次采用资格后审方式。</w:t>
      </w:r>
    </w:p>
    <w:p w14:paraId="4597C62C">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00" w:firstLineChars="200"/>
        <w:rPr>
          <w:rFonts w:ascii="仿宋" w:hAnsi="仿宋" w:eastAsia="仿宋"/>
          <w:sz w:val="30"/>
          <w:szCs w:val="30"/>
        </w:rPr>
      </w:pPr>
      <w:r>
        <w:rPr>
          <w:rFonts w:hint="eastAsia" w:ascii="仿宋" w:hAnsi="仿宋" w:eastAsia="仿宋"/>
          <w:sz w:val="30"/>
          <w:szCs w:val="30"/>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r>
        <w:rPr>
          <w:rFonts w:hint="eastAsia" w:ascii="仿宋" w:hAnsi="仿宋" w:eastAsia="仿宋"/>
          <w:b/>
          <w:color w:val="000000"/>
          <w:kern w:val="2"/>
          <w:sz w:val="30"/>
          <w:szCs w:val="30"/>
        </w:rPr>
        <w:t>五、项目控制价为</w:t>
      </w:r>
      <w:r>
        <w:rPr>
          <w:rFonts w:hint="eastAsia" w:ascii="仿宋" w:hAnsi="仿宋" w:eastAsia="仿宋"/>
          <w:b/>
          <w:color w:val="000000"/>
          <w:kern w:val="2"/>
          <w:sz w:val="30"/>
          <w:szCs w:val="30"/>
          <w:lang w:val="en-US" w:eastAsia="zh-CN"/>
        </w:rPr>
        <w:t>29500</w:t>
      </w:r>
      <w:r>
        <w:rPr>
          <w:rFonts w:hint="eastAsia" w:ascii="仿宋" w:hAnsi="仿宋" w:eastAsia="仿宋"/>
          <w:b/>
          <w:color w:val="000000"/>
          <w:kern w:val="2"/>
          <w:sz w:val="30"/>
          <w:szCs w:val="30"/>
        </w:rPr>
        <w:t>元，报价不得高于控制价。</w:t>
      </w:r>
    </w:p>
    <w:p w14:paraId="091FED64">
      <w:pPr>
        <w:pStyle w:val="5"/>
        <w:shd w:val="clear" w:color="auto" w:fill="FFFFFF"/>
        <w:spacing w:before="0" w:beforeAutospacing="0" w:after="0" w:afterAutospacing="0" w:line="520" w:lineRule="exact"/>
        <w:rPr>
          <w:rFonts w:hint="eastAsia" w:ascii="仿宋" w:hAnsi="仿宋" w:eastAsia="仿宋"/>
          <w:sz w:val="30"/>
          <w:szCs w:val="30"/>
        </w:rPr>
      </w:pPr>
    </w:p>
    <w:p w14:paraId="2679E181">
      <w:pPr>
        <w:pStyle w:val="5"/>
        <w:shd w:val="clear" w:color="auto" w:fill="FFFFFF"/>
        <w:spacing w:before="0" w:beforeAutospacing="0" w:after="0" w:afterAutospacing="0" w:line="520" w:lineRule="exact"/>
        <w:rPr>
          <w:rFonts w:hint="eastAsia" w:ascii="仿宋" w:hAnsi="仿宋" w:eastAsia="仿宋"/>
          <w:sz w:val="32"/>
          <w:szCs w:val="32"/>
        </w:rPr>
      </w:pPr>
    </w:p>
    <w:p w14:paraId="2C2ADF4E">
      <w:pPr>
        <w:pStyle w:val="5"/>
        <w:shd w:val="clear" w:color="auto" w:fill="FFFFFF"/>
        <w:spacing w:before="0" w:beforeAutospacing="0" w:after="0" w:afterAutospacing="0" w:line="520" w:lineRule="exact"/>
        <w:rPr>
          <w:rFonts w:hint="eastAsia" w:ascii="仿宋" w:hAnsi="仿宋" w:eastAsia="仿宋"/>
          <w:sz w:val="32"/>
          <w:szCs w:val="32"/>
        </w:rPr>
      </w:pPr>
    </w:p>
    <w:p w14:paraId="3777C072">
      <w:pPr>
        <w:pStyle w:val="5"/>
        <w:shd w:val="clear" w:color="auto" w:fill="FFFFFF"/>
        <w:spacing w:before="0" w:beforeAutospacing="0" w:after="0" w:afterAutospacing="0" w:line="520" w:lineRule="exact"/>
        <w:rPr>
          <w:rFonts w:hint="eastAsia" w:ascii="仿宋" w:hAnsi="仿宋" w:eastAsia="仿宋"/>
          <w:sz w:val="32"/>
          <w:szCs w:val="32"/>
        </w:rPr>
      </w:pPr>
    </w:p>
    <w:p w14:paraId="36B163FB">
      <w:pPr>
        <w:adjustRightInd w:val="0"/>
        <w:spacing w:line="480" w:lineRule="exact"/>
        <w:ind w:firstLine="640" w:firstLineChars="200"/>
        <w:jc w:val="left"/>
        <w:rPr>
          <w:rFonts w:hint="eastAsia" w:ascii="仿宋" w:hAnsi="仿宋" w:eastAsia="仿宋"/>
          <w:sz w:val="32"/>
          <w:szCs w:val="32"/>
          <w:lang w:eastAsia="zh-CN"/>
        </w:rPr>
      </w:pPr>
    </w:p>
    <w:p w14:paraId="777BCDC3">
      <w:pPr>
        <w:adjustRightInd w:val="0"/>
        <w:spacing w:line="480" w:lineRule="exact"/>
        <w:ind w:firstLine="640" w:firstLineChars="200"/>
        <w:jc w:val="left"/>
        <w:rPr>
          <w:rFonts w:hint="eastAsia" w:ascii="仿宋" w:hAnsi="仿宋" w:eastAsia="仿宋"/>
          <w:sz w:val="32"/>
          <w:szCs w:val="32"/>
          <w:lang w:eastAsia="zh-CN"/>
        </w:rPr>
      </w:pPr>
    </w:p>
    <w:p w14:paraId="51461F42">
      <w:pPr>
        <w:adjustRightInd w:val="0"/>
        <w:spacing w:line="480" w:lineRule="exact"/>
        <w:ind w:firstLine="640" w:firstLineChars="200"/>
        <w:jc w:val="left"/>
        <w:rPr>
          <w:rFonts w:hint="eastAsia" w:ascii="仿宋" w:hAnsi="仿宋" w:eastAsia="仿宋"/>
          <w:sz w:val="32"/>
          <w:szCs w:val="32"/>
          <w:lang w:eastAsia="zh-CN"/>
        </w:rPr>
      </w:pPr>
    </w:p>
    <w:p w14:paraId="47F570AE">
      <w:pPr>
        <w:adjustRightInd w:val="0"/>
        <w:spacing w:line="48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附：</w:t>
      </w:r>
    </w:p>
    <w:tbl>
      <w:tblPr>
        <w:tblStyle w:val="6"/>
        <w:tblpPr w:leftFromText="180" w:rightFromText="180" w:vertAnchor="text" w:horzAnchor="page" w:tblpX="1780" w:tblpY="63"/>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2"/>
      </w:tblGrid>
      <w:tr w14:paraId="4A790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tcBorders>
              <w:top w:val="nil"/>
              <w:left w:val="nil"/>
              <w:bottom w:val="nil"/>
              <w:right w:val="nil"/>
            </w:tcBorders>
            <w:shd w:val="clear" w:color="auto" w:fill="auto"/>
            <w:noWrap/>
            <w:vAlign w:val="bottom"/>
          </w:tcPr>
          <w:p w14:paraId="74ABD1BA">
            <w:pPr>
              <w:keepNext w:val="0"/>
              <w:keepLines w:val="0"/>
              <w:widowControl/>
              <w:suppressLineNumbers w:val="0"/>
              <w:ind w:firstLine="3092" w:firstLineChars="700"/>
              <w:jc w:val="both"/>
              <w:textAlignment w:val="bottom"/>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44"/>
                <w:szCs w:val="44"/>
                <w:u w:val="none"/>
                <w:lang w:eastAsia="zh-CN"/>
              </w:rPr>
              <w:t>报价清单</w:t>
            </w:r>
            <w:r>
              <w:rPr>
                <w:rFonts w:hint="eastAsia" w:ascii="仿宋" w:hAnsi="仿宋" w:eastAsia="仿宋" w:cs="仿宋"/>
                <w:b/>
                <w:bCs/>
                <w:i w:val="0"/>
                <w:iCs w:val="0"/>
                <w:color w:val="000000"/>
                <w:sz w:val="28"/>
                <w:szCs w:val="28"/>
                <w:u w:val="none"/>
                <w:lang w:val="en-US" w:eastAsia="zh-CN"/>
              </w:rPr>
              <w:t xml:space="preserve">     单位：元</w:t>
            </w:r>
          </w:p>
        </w:tc>
      </w:tr>
    </w:tbl>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795"/>
        <w:gridCol w:w="2976"/>
        <w:gridCol w:w="432"/>
        <w:gridCol w:w="450"/>
        <w:gridCol w:w="525"/>
        <w:gridCol w:w="525"/>
        <w:gridCol w:w="2303"/>
      </w:tblGrid>
      <w:tr w14:paraId="4E48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6" w:type="dxa"/>
          </w:tcPr>
          <w:p w14:paraId="497397B4">
            <w:pPr>
              <w:adjustRightInd w:val="0"/>
              <w:spacing w:line="240" w:lineRule="auto"/>
              <w:jc w:val="left"/>
              <w:rPr>
                <w:rFonts w:hint="eastAsia" w:ascii="仿宋" w:hAnsi="仿宋" w:eastAsia="仿宋"/>
                <w:sz w:val="28"/>
                <w:szCs w:val="28"/>
                <w:shd w:val="clear" w:color="auto" w:fill="auto"/>
                <w:vertAlign w:val="baseline"/>
                <w:lang w:eastAsia="zh-CN"/>
              </w:rPr>
            </w:pPr>
            <w:r>
              <w:rPr>
                <w:rFonts w:hint="eastAsia" w:ascii="仿宋" w:hAnsi="仿宋" w:eastAsia="仿宋"/>
                <w:sz w:val="28"/>
                <w:szCs w:val="28"/>
                <w:shd w:val="clear" w:color="auto" w:fill="auto"/>
                <w:vertAlign w:val="baseline"/>
                <w:lang w:eastAsia="zh-CN"/>
              </w:rPr>
              <w:t>序号</w:t>
            </w:r>
          </w:p>
        </w:tc>
        <w:tc>
          <w:tcPr>
            <w:tcW w:w="795" w:type="dxa"/>
          </w:tcPr>
          <w:p w14:paraId="467D525F">
            <w:pPr>
              <w:adjustRightInd w:val="0"/>
              <w:spacing w:line="240" w:lineRule="auto"/>
              <w:jc w:val="left"/>
              <w:rPr>
                <w:rFonts w:hint="eastAsia" w:ascii="仿宋" w:hAnsi="仿宋" w:eastAsia="仿宋"/>
                <w:sz w:val="24"/>
                <w:szCs w:val="24"/>
                <w:shd w:val="clear" w:color="auto" w:fill="auto"/>
                <w:vertAlign w:val="baseline"/>
                <w:lang w:eastAsia="zh-CN"/>
              </w:rPr>
            </w:pPr>
            <w:r>
              <w:rPr>
                <w:rFonts w:hint="eastAsia" w:ascii="仿宋" w:hAnsi="仿宋" w:eastAsia="仿宋"/>
                <w:sz w:val="28"/>
                <w:szCs w:val="28"/>
                <w:shd w:val="clear" w:color="auto" w:fill="auto"/>
                <w:vertAlign w:val="baseline"/>
                <w:lang w:eastAsia="zh-CN"/>
              </w:rPr>
              <w:t>品牌名称</w:t>
            </w:r>
          </w:p>
        </w:tc>
        <w:tc>
          <w:tcPr>
            <w:tcW w:w="2976" w:type="dxa"/>
          </w:tcPr>
          <w:p w14:paraId="6E6A9BEE">
            <w:pPr>
              <w:adjustRightInd w:val="0"/>
              <w:spacing w:line="240" w:lineRule="auto"/>
              <w:ind w:firstLine="840" w:firstLineChars="300"/>
              <w:jc w:val="left"/>
              <w:rPr>
                <w:rFonts w:hint="eastAsia" w:ascii="仿宋" w:hAnsi="仿宋" w:eastAsia="仿宋"/>
                <w:sz w:val="28"/>
                <w:szCs w:val="28"/>
                <w:shd w:val="clear" w:color="auto" w:fill="auto"/>
                <w:vertAlign w:val="baseline"/>
                <w:lang w:eastAsia="zh-CN"/>
              </w:rPr>
            </w:pPr>
            <w:r>
              <w:rPr>
                <w:rFonts w:hint="eastAsia" w:ascii="仿宋" w:hAnsi="仿宋" w:eastAsia="仿宋"/>
                <w:sz w:val="28"/>
                <w:szCs w:val="28"/>
                <w:shd w:val="clear" w:color="auto" w:fill="auto"/>
                <w:vertAlign w:val="baseline"/>
                <w:lang w:eastAsia="zh-CN"/>
              </w:rPr>
              <w:t>参数</w:t>
            </w:r>
          </w:p>
        </w:tc>
        <w:tc>
          <w:tcPr>
            <w:tcW w:w="432" w:type="dxa"/>
          </w:tcPr>
          <w:p w14:paraId="1666CACC">
            <w:pPr>
              <w:adjustRightInd w:val="0"/>
              <w:spacing w:line="240" w:lineRule="auto"/>
              <w:jc w:val="left"/>
              <w:rPr>
                <w:rFonts w:hint="eastAsia" w:ascii="仿宋" w:hAnsi="仿宋" w:eastAsia="仿宋"/>
                <w:sz w:val="28"/>
                <w:szCs w:val="28"/>
                <w:shd w:val="clear" w:color="auto" w:fill="auto"/>
                <w:vertAlign w:val="baseline"/>
                <w:lang w:eastAsia="zh-CN"/>
              </w:rPr>
            </w:pPr>
            <w:r>
              <w:rPr>
                <w:rFonts w:hint="eastAsia" w:ascii="仿宋" w:hAnsi="仿宋" w:eastAsia="仿宋"/>
                <w:sz w:val="28"/>
                <w:szCs w:val="28"/>
                <w:shd w:val="clear" w:color="auto" w:fill="auto"/>
                <w:vertAlign w:val="baseline"/>
                <w:lang w:eastAsia="zh-CN"/>
              </w:rPr>
              <w:t>数量</w:t>
            </w:r>
          </w:p>
        </w:tc>
        <w:tc>
          <w:tcPr>
            <w:tcW w:w="450" w:type="dxa"/>
          </w:tcPr>
          <w:p w14:paraId="2D659065">
            <w:pPr>
              <w:adjustRightInd w:val="0"/>
              <w:spacing w:line="240" w:lineRule="auto"/>
              <w:jc w:val="left"/>
              <w:rPr>
                <w:rFonts w:hint="eastAsia" w:ascii="仿宋" w:hAnsi="仿宋" w:eastAsia="仿宋"/>
                <w:sz w:val="28"/>
                <w:szCs w:val="28"/>
                <w:shd w:val="clear" w:color="auto" w:fill="auto"/>
                <w:vertAlign w:val="baseline"/>
                <w:lang w:eastAsia="zh-CN"/>
              </w:rPr>
            </w:pPr>
            <w:r>
              <w:rPr>
                <w:rFonts w:hint="eastAsia" w:ascii="仿宋" w:hAnsi="仿宋" w:eastAsia="仿宋"/>
                <w:sz w:val="28"/>
                <w:szCs w:val="28"/>
                <w:shd w:val="clear" w:color="auto" w:fill="auto"/>
                <w:vertAlign w:val="baseline"/>
                <w:lang w:eastAsia="zh-CN"/>
              </w:rPr>
              <w:t>单位</w:t>
            </w:r>
          </w:p>
        </w:tc>
        <w:tc>
          <w:tcPr>
            <w:tcW w:w="525" w:type="dxa"/>
          </w:tcPr>
          <w:p w14:paraId="5ED42AB8">
            <w:pPr>
              <w:adjustRightInd w:val="0"/>
              <w:spacing w:line="240" w:lineRule="auto"/>
              <w:jc w:val="left"/>
              <w:rPr>
                <w:rFonts w:hint="eastAsia" w:ascii="仿宋" w:hAnsi="仿宋" w:eastAsia="仿宋"/>
                <w:sz w:val="28"/>
                <w:szCs w:val="28"/>
                <w:shd w:val="clear" w:color="auto" w:fill="auto"/>
                <w:vertAlign w:val="baseline"/>
                <w:lang w:eastAsia="zh-CN"/>
              </w:rPr>
            </w:pPr>
            <w:r>
              <w:rPr>
                <w:rFonts w:hint="eastAsia" w:ascii="仿宋" w:hAnsi="仿宋" w:eastAsia="仿宋"/>
                <w:sz w:val="28"/>
                <w:szCs w:val="28"/>
                <w:shd w:val="clear" w:color="auto" w:fill="auto"/>
                <w:vertAlign w:val="baseline"/>
                <w:lang w:eastAsia="zh-CN"/>
              </w:rPr>
              <w:t>单价</w:t>
            </w:r>
          </w:p>
        </w:tc>
        <w:tc>
          <w:tcPr>
            <w:tcW w:w="525" w:type="dxa"/>
          </w:tcPr>
          <w:p w14:paraId="5F798111">
            <w:pPr>
              <w:adjustRightInd w:val="0"/>
              <w:spacing w:line="240" w:lineRule="auto"/>
              <w:jc w:val="left"/>
              <w:rPr>
                <w:rFonts w:hint="eastAsia" w:ascii="仿宋" w:hAnsi="仿宋" w:eastAsia="仿宋"/>
                <w:sz w:val="28"/>
                <w:szCs w:val="28"/>
                <w:shd w:val="clear" w:color="auto" w:fill="auto"/>
                <w:vertAlign w:val="baseline"/>
                <w:lang w:eastAsia="zh-CN"/>
              </w:rPr>
            </w:pPr>
            <w:r>
              <w:rPr>
                <w:rFonts w:hint="eastAsia" w:ascii="仿宋" w:hAnsi="仿宋" w:eastAsia="仿宋"/>
                <w:sz w:val="28"/>
                <w:szCs w:val="28"/>
                <w:shd w:val="clear" w:color="auto" w:fill="auto"/>
                <w:vertAlign w:val="baseline"/>
                <w:lang w:eastAsia="zh-CN"/>
              </w:rPr>
              <w:t>合计</w:t>
            </w:r>
          </w:p>
        </w:tc>
        <w:tc>
          <w:tcPr>
            <w:tcW w:w="2303" w:type="dxa"/>
          </w:tcPr>
          <w:p w14:paraId="17F79BDD">
            <w:pPr>
              <w:adjustRightInd w:val="0"/>
              <w:spacing w:line="240" w:lineRule="auto"/>
              <w:ind w:firstLine="560" w:firstLineChars="200"/>
              <w:jc w:val="left"/>
              <w:rPr>
                <w:rFonts w:hint="eastAsia" w:ascii="仿宋" w:hAnsi="仿宋" w:eastAsia="仿宋"/>
                <w:sz w:val="28"/>
                <w:szCs w:val="28"/>
                <w:shd w:val="clear" w:color="auto" w:fill="auto"/>
                <w:vertAlign w:val="baseline"/>
                <w:lang w:eastAsia="zh-CN"/>
              </w:rPr>
            </w:pPr>
            <w:r>
              <w:rPr>
                <w:rFonts w:hint="eastAsia" w:ascii="仿宋" w:hAnsi="仿宋" w:eastAsia="仿宋"/>
                <w:sz w:val="28"/>
                <w:szCs w:val="28"/>
                <w:shd w:val="clear" w:color="auto" w:fill="auto"/>
                <w:vertAlign w:val="baseline"/>
                <w:lang w:eastAsia="zh-CN"/>
              </w:rPr>
              <w:t>备注</w:t>
            </w:r>
          </w:p>
        </w:tc>
      </w:tr>
      <w:tr w14:paraId="2CD0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14:paraId="79DDF475">
            <w:pPr>
              <w:adjustRightInd w:val="0"/>
              <w:spacing w:line="240" w:lineRule="auto"/>
              <w:jc w:val="left"/>
              <w:rPr>
                <w:rFonts w:hint="eastAsia" w:ascii="仿宋" w:hAnsi="仿宋" w:eastAsia="仿宋"/>
                <w:sz w:val="32"/>
                <w:szCs w:val="32"/>
                <w:shd w:val="clear" w:color="auto" w:fill="auto"/>
                <w:vertAlign w:val="baseline"/>
                <w:lang w:val="en-US" w:eastAsia="zh-CN"/>
              </w:rPr>
            </w:pPr>
            <w:r>
              <w:rPr>
                <w:rFonts w:hint="eastAsia" w:ascii="仿宋" w:hAnsi="仿宋" w:eastAsia="仿宋"/>
                <w:sz w:val="32"/>
                <w:szCs w:val="32"/>
                <w:shd w:val="clear" w:color="auto" w:fill="auto"/>
                <w:vertAlign w:val="baseline"/>
                <w:lang w:val="en-US" w:eastAsia="zh-CN"/>
              </w:rPr>
              <w:t>1</w:t>
            </w:r>
          </w:p>
        </w:tc>
        <w:tc>
          <w:tcPr>
            <w:tcW w:w="795" w:type="dxa"/>
          </w:tcPr>
          <w:p w14:paraId="0A6BEA03">
            <w:pPr>
              <w:adjustRightInd w:val="0"/>
              <w:spacing w:line="240" w:lineRule="auto"/>
              <w:jc w:val="left"/>
              <w:rPr>
                <w:rFonts w:hint="eastAsia" w:ascii="仿宋" w:hAnsi="仿宋" w:eastAsia="仿宋"/>
                <w:sz w:val="24"/>
                <w:szCs w:val="24"/>
                <w:shd w:val="clear" w:color="auto" w:fill="auto"/>
                <w:vertAlign w:val="baseline"/>
                <w:lang w:eastAsia="zh-CN"/>
              </w:rPr>
            </w:pPr>
            <w:r>
              <w:rPr>
                <w:rFonts w:hint="eastAsia" w:ascii="仿宋" w:hAnsi="仿宋" w:eastAsia="仿宋"/>
                <w:sz w:val="24"/>
                <w:szCs w:val="24"/>
                <w:shd w:val="clear" w:color="auto" w:fill="auto"/>
                <w:vertAlign w:val="baseline"/>
                <w:lang w:eastAsia="zh-CN"/>
              </w:rPr>
              <w:t>科华功率模块</w:t>
            </w:r>
          </w:p>
          <w:p w14:paraId="6E419853">
            <w:pPr>
              <w:adjustRightInd w:val="0"/>
              <w:spacing w:line="240" w:lineRule="auto"/>
              <w:jc w:val="left"/>
              <w:rPr>
                <w:rFonts w:hint="default" w:ascii="仿宋" w:hAnsi="仿宋" w:eastAsia="仿宋"/>
                <w:sz w:val="24"/>
                <w:szCs w:val="24"/>
                <w:shd w:val="clear" w:color="auto" w:fill="auto"/>
                <w:vertAlign w:val="baseline"/>
                <w:lang w:val="en-US" w:eastAsia="zh-CN"/>
              </w:rPr>
            </w:pPr>
            <w:r>
              <w:rPr>
                <w:rFonts w:hint="eastAsia" w:ascii="仿宋" w:hAnsi="仿宋" w:eastAsia="仿宋"/>
                <w:sz w:val="24"/>
                <w:szCs w:val="24"/>
                <w:shd w:val="clear" w:color="auto" w:fill="auto"/>
                <w:vertAlign w:val="baseline"/>
                <w:lang w:val="en-US" w:eastAsia="zh-CN"/>
              </w:rPr>
              <w:t>MR3325-J</w:t>
            </w:r>
          </w:p>
        </w:tc>
        <w:tc>
          <w:tcPr>
            <w:tcW w:w="2976" w:type="dxa"/>
          </w:tcPr>
          <w:p w14:paraId="6E29A815">
            <w:pPr>
              <w:adjustRightInd w:val="0"/>
              <w:spacing w:line="240" w:lineRule="auto"/>
              <w:jc w:val="left"/>
              <w:rPr>
                <w:rFonts w:hint="eastAsia" w:ascii="仿宋" w:hAnsi="仿宋" w:eastAsia="仿宋"/>
                <w:sz w:val="24"/>
                <w:szCs w:val="24"/>
                <w:shd w:val="clear" w:color="auto" w:fill="auto"/>
                <w:vertAlign w:val="baseline"/>
                <w:lang w:val="en-US" w:eastAsia="zh-CN"/>
              </w:rPr>
            </w:pPr>
            <w:r>
              <w:rPr>
                <w:rFonts w:hint="eastAsia" w:ascii="仿宋" w:hAnsi="仿宋" w:eastAsia="仿宋"/>
                <w:sz w:val="24"/>
                <w:szCs w:val="24"/>
                <w:shd w:val="clear" w:color="auto" w:fill="auto"/>
                <w:vertAlign w:val="baseline"/>
                <w:lang w:eastAsia="zh-CN"/>
              </w:rPr>
              <w:t>输入</w:t>
            </w:r>
            <w:r>
              <w:rPr>
                <w:rFonts w:hint="eastAsia" w:ascii="仿宋" w:hAnsi="仿宋" w:eastAsia="仿宋"/>
                <w:sz w:val="24"/>
                <w:szCs w:val="24"/>
                <w:shd w:val="clear" w:color="auto" w:fill="auto"/>
                <w:vertAlign w:val="baseline"/>
                <w:lang w:val="en-US" w:eastAsia="zh-CN"/>
              </w:rPr>
              <w:t>3W+N+PE,AC380/400/415V,</w:t>
            </w:r>
          </w:p>
          <w:p w14:paraId="0F9304CF">
            <w:pPr>
              <w:adjustRightInd w:val="0"/>
              <w:spacing w:line="240" w:lineRule="auto"/>
              <w:jc w:val="left"/>
              <w:rPr>
                <w:rFonts w:hint="eastAsia" w:ascii="仿宋" w:hAnsi="仿宋" w:eastAsia="仿宋"/>
                <w:sz w:val="24"/>
                <w:szCs w:val="24"/>
                <w:shd w:val="clear" w:color="auto" w:fill="auto"/>
                <w:vertAlign w:val="baseline"/>
                <w:lang w:val="en-US" w:eastAsia="zh-CN"/>
              </w:rPr>
            </w:pPr>
            <w:r>
              <w:rPr>
                <w:rFonts w:hint="eastAsia" w:ascii="仿宋" w:hAnsi="仿宋" w:eastAsia="仿宋"/>
                <w:sz w:val="24"/>
                <w:szCs w:val="24"/>
                <w:shd w:val="clear" w:color="auto" w:fill="auto"/>
                <w:vertAlign w:val="baseline"/>
                <w:lang w:val="en-US" w:eastAsia="zh-CN"/>
              </w:rPr>
              <w:t>50/60HZ,</w:t>
            </w:r>
          </w:p>
          <w:p w14:paraId="019B4683">
            <w:pPr>
              <w:adjustRightInd w:val="0"/>
              <w:spacing w:line="240" w:lineRule="auto"/>
              <w:jc w:val="left"/>
              <w:rPr>
                <w:rFonts w:hint="eastAsia" w:ascii="仿宋" w:hAnsi="仿宋" w:eastAsia="仿宋"/>
                <w:sz w:val="24"/>
                <w:szCs w:val="24"/>
                <w:shd w:val="clear" w:color="auto" w:fill="auto"/>
                <w:vertAlign w:val="baseline"/>
                <w:lang w:val="en-US" w:eastAsia="zh-CN"/>
              </w:rPr>
            </w:pPr>
            <w:r>
              <w:rPr>
                <w:rFonts w:hint="eastAsia" w:ascii="仿宋" w:hAnsi="仿宋" w:eastAsia="仿宋"/>
                <w:sz w:val="24"/>
                <w:szCs w:val="24"/>
                <w:shd w:val="clear" w:color="auto" w:fill="auto"/>
                <w:vertAlign w:val="baseline"/>
                <w:lang w:val="en-US" w:eastAsia="zh-CN"/>
              </w:rPr>
              <w:t>3W+N+EAO/4/15</w:t>
            </w:r>
          </w:p>
          <w:p w14:paraId="1FCF421D">
            <w:pPr>
              <w:adjustRightInd w:val="0"/>
              <w:spacing w:line="240" w:lineRule="auto"/>
              <w:jc w:val="left"/>
              <w:rPr>
                <w:rFonts w:hint="default" w:ascii="仿宋" w:hAnsi="仿宋" w:eastAsia="仿宋"/>
                <w:sz w:val="24"/>
                <w:szCs w:val="24"/>
                <w:shd w:val="clear" w:color="auto" w:fill="auto"/>
                <w:vertAlign w:val="baseline"/>
                <w:lang w:val="en-US" w:eastAsia="zh-CN"/>
              </w:rPr>
            </w:pPr>
            <w:r>
              <w:rPr>
                <w:rFonts w:hint="eastAsia" w:ascii="仿宋" w:hAnsi="仿宋" w:eastAsia="仿宋"/>
                <w:sz w:val="24"/>
                <w:szCs w:val="24"/>
                <w:shd w:val="clear" w:color="auto" w:fill="auto"/>
                <w:vertAlign w:val="baseline"/>
                <w:lang w:val="en-US" w:eastAsia="zh-CN"/>
              </w:rPr>
              <w:t>45.4/43.4/41.6A</w:t>
            </w:r>
          </w:p>
        </w:tc>
        <w:tc>
          <w:tcPr>
            <w:tcW w:w="432" w:type="dxa"/>
          </w:tcPr>
          <w:p w14:paraId="68CEFF4C">
            <w:pPr>
              <w:adjustRightInd w:val="0"/>
              <w:spacing w:line="240" w:lineRule="auto"/>
              <w:jc w:val="left"/>
              <w:rPr>
                <w:rFonts w:hint="eastAsia" w:ascii="仿宋" w:hAnsi="仿宋" w:eastAsia="仿宋"/>
                <w:sz w:val="32"/>
                <w:szCs w:val="32"/>
                <w:shd w:val="clear" w:color="auto" w:fill="auto"/>
                <w:vertAlign w:val="baseline"/>
                <w:lang w:val="en-US" w:eastAsia="zh-CN"/>
              </w:rPr>
            </w:pPr>
            <w:r>
              <w:rPr>
                <w:rFonts w:hint="eastAsia" w:ascii="仿宋" w:hAnsi="仿宋" w:eastAsia="仿宋"/>
                <w:sz w:val="32"/>
                <w:szCs w:val="32"/>
                <w:shd w:val="clear" w:color="auto" w:fill="auto"/>
                <w:vertAlign w:val="baseline"/>
                <w:lang w:val="en-US" w:eastAsia="zh-CN"/>
              </w:rPr>
              <w:t>1</w:t>
            </w:r>
          </w:p>
        </w:tc>
        <w:tc>
          <w:tcPr>
            <w:tcW w:w="450" w:type="dxa"/>
          </w:tcPr>
          <w:p w14:paraId="0B77F283">
            <w:pPr>
              <w:adjustRightInd w:val="0"/>
              <w:spacing w:line="240" w:lineRule="auto"/>
              <w:jc w:val="left"/>
              <w:rPr>
                <w:rFonts w:hint="default" w:ascii="仿宋" w:hAnsi="仿宋" w:eastAsia="仿宋"/>
                <w:sz w:val="30"/>
                <w:szCs w:val="30"/>
                <w:shd w:val="clear" w:color="auto" w:fill="auto"/>
                <w:vertAlign w:val="baseline"/>
                <w:lang w:val="en-US" w:eastAsia="zh-CN"/>
              </w:rPr>
            </w:pPr>
            <w:r>
              <w:rPr>
                <w:rFonts w:hint="eastAsia" w:ascii="仿宋" w:hAnsi="仿宋" w:eastAsia="仿宋"/>
                <w:sz w:val="30"/>
                <w:szCs w:val="30"/>
                <w:shd w:val="clear" w:color="auto" w:fill="auto"/>
                <w:vertAlign w:val="baseline"/>
                <w:lang w:val="en-US" w:eastAsia="zh-CN"/>
              </w:rPr>
              <w:t>台</w:t>
            </w:r>
          </w:p>
        </w:tc>
        <w:tc>
          <w:tcPr>
            <w:tcW w:w="525" w:type="dxa"/>
          </w:tcPr>
          <w:p w14:paraId="444A2A1B">
            <w:pPr>
              <w:adjustRightInd w:val="0"/>
              <w:spacing w:line="240" w:lineRule="auto"/>
              <w:jc w:val="left"/>
              <w:rPr>
                <w:rFonts w:hint="eastAsia" w:ascii="仿宋" w:hAnsi="仿宋" w:eastAsia="仿宋"/>
                <w:sz w:val="32"/>
                <w:szCs w:val="32"/>
                <w:shd w:val="clear" w:color="auto" w:fill="auto"/>
                <w:vertAlign w:val="baseline"/>
              </w:rPr>
            </w:pPr>
          </w:p>
        </w:tc>
        <w:tc>
          <w:tcPr>
            <w:tcW w:w="525" w:type="dxa"/>
          </w:tcPr>
          <w:p w14:paraId="3D70172E">
            <w:pPr>
              <w:adjustRightInd w:val="0"/>
              <w:spacing w:line="240" w:lineRule="auto"/>
              <w:jc w:val="left"/>
              <w:rPr>
                <w:rFonts w:hint="eastAsia" w:ascii="仿宋" w:hAnsi="仿宋" w:eastAsia="仿宋"/>
                <w:sz w:val="32"/>
                <w:szCs w:val="32"/>
                <w:shd w:val="clear" w:color="auto" w:fill="auto"/>
                <w:vertAlign w:val="baseline"/>
              </w:rPr>
            </w:pPr>
          </w:p>
        </w:tc>
        <w:tc>
          <w:tcPr>
            <w:tcW w:w="2303" w:type="dxa"/>
          </w:tcPr>
          <w:p w14:paraId="42B281AA">
            <w:pPr>
              <w:adjustRightInd w:val="0"/>
              <w:spacing w:line="240" w:lineRule="auto"/>
              <w:jc w:val="left"/>
              <w:rPr>
                <w:rFonts w:hint="default" w:ascii="仿宋" w:hAnsi="仿宋" w:eastAsia="仿宋"/>
                <w:sz w:val="24"/>
                <w:szCs w:val="24"/>
                <w:shd w:val="clear" w:color="auto" w:fill="auto"/>
                <w:vertAlign w:val="baseline"/>
                <w:lang w:val="en-US" w:eastAsia="zh-CN"/>
              </w:rPr>
            </w:pPr>
            <w:r>
              <w:rPr>
                <w:rFonts w:hint="eastAsia" w:ascii="仿宋" w:hAnsi="仿宋" w:eastAsia="仿宋"/>
                <w:sz w:val="24"/>
                <w:szCs w:val="24"/>
                <w:shd w:val="clear" w:color="auto" w:fill="auto"/>
                <w:vertAlign w:val="baseline"/>
                <w:lang w:val="en-US" w:eastAsia="zh-CN"/>
              </w:rPr>
              <w:t>功率模块25KVA,功率因数高达0.99，输入电流谐波THDI&lt;3%,支持热拔插，高度3U</w:t>
            </w:r>
          </w:p>
        </w:tc>
      </w:tr>
      <w:tr w14:paraId="185E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14:paraId="2F3551B5">
            <w:pPr>
              <w:adjustRightInd w:val="0"/>
              <w:spacing w:line="240" w:lineRule="auto"/>
              <w:jc w:val="left"/>
              <w:rPr>
                <w:rFonts w:hint="eastAsia" w:ascii="仿宋" w:hAnsi="仿宋" w:eastAsia="仿宋"/>
                <w:sz w:val="32"/>
                <w:szCs w:val="32"/>
                <w:shd w:val="clear" w:color="auto" w:fill="auto"/>
                <w:vertAlign w:val="baseline"/>
                <w:lang w:val="en-US" w:eastAsia="zh-CN"/>
              </w:rPr>
            </w:pPr>
            <w:r>
              <w:rPr>
                <w:rFonts w:hint="eastAsia" w:ascii="仿宋" w:hAnsi="仿宋" w:eastAsia="仿宋"/>
                <w:sz w:val="32"/>
                <w:szCs w:val="32"/>
                <w:shd w:val="clear" w:color="auto" w:fill="auto"/>
                <w:vertAlign w:val="baseline"/>
                <w:lang w:val="en-US" w:eastAsia="zh-CN"/>
              </w:rPr>
              <w:t>2</w:t>
            </w:r>
          </w:p>
        </w:tc>
        <w:tc>
          <w:tcPr>
            <w:tcW w:w="795" w:type="dxa"/>
          </w:tcPr>
          <w:p w14:paraId="3E5226E1">
            <w:pPr>
              <w:adjustRightInd w:val="0"/>
              <w:spacing w:line="240" w:lineRule="auto"/>
              <w:jc w:val="left"/>
              <w:rPr>
                <w:rFonts w:hint="eastAsia" w:ascii="仿宋" w:hAnsi="仿宋" w:eastAsia="仿宋"/>
                <w:sz w:val="24"/>
                <w:szCs w:val="24"/>
                <w:shd w:val="clear" w:color="auto" w:fill="auto"/>
                <w:vertAlign w:val="baseline"/>
                <w:lang w:eastAsia="zh-CN"/>
              </w:rPr>
            </w:pPr>
            <w:r>
              <w:rPr>
                <w:rFonts w:hint="eastAsia" w:ascii="仿宋" w:hAnsi="仿宋" w:eastAsia="仿宋"/>
                <w:sz w:val="24"/>
                <w:szCs w:val="24"/>
                <w:shd w:val="clear" w:color="auto" w:fill="auto"/>
                <w:vertAlign w:val="baseline"/>
                <w:lang w:eastAsia="zh-CN"/>
              </w:rPr>
              <w:t>安装调试</w:t>
            </w:r>
          </w:p>
        </w:tc>
        <w:tc>
          <w:tcPr>
            <w:tcW w:w="2976" w:type="dxa"/>
          </w:tcPr>
          <w:p w14:paraId="60AF66C2">
            <w:pPr>
              <w:adjustRightInd w:val="0"/>
              <w:spacing w:line="240" w:lineRule="auto"/>
              <w:jc w:val="left"/>
              <w:rPr>
                <w:rFonts w:hint="eastAsia" w:ascii="仿宋" w:hAnsi="仿宋" w:eastAsia="仿宋"/>
                <w:sz w:val="32"/>
                <w:szCs w:val="32"/>
                <w:shd w:val="clear" w:color="auto" w:fill="auto"/>
                <w:vertAlign w:val="baseline"/>
              </w:rPr>
            </w:pPr>
          </w:p>
        </w:tc>
        <w:tc>
          <w:tcPr>
            <w:tcW w:w="432" w:type="dxa"/>
          </w:tcPr>
          <w:p w14:paraId="307392A0">
            <w:pPr>
              <w:adjustRightInd w:val="0"/>
              <w:spacing w:line="240" w:lineRule="auto"/>
              <w:jc w:val="left"/>
              <w:rPr>
                <w:rFonts w:hint="eastAsia" w:ascii="仿宋" w:hAnsi="仿宋" w:eastAsia="仿宋"/>
                <w:sz w:val="32"/>
                <w:szCs w:val="32"/>
                <w:shd w:val="clear" w:color="auto" w:fill="auto"/>
                <w:vertAlign w:val="baseline"/>
                <w:lang w:val="en-US" w:eastAsia="zh-CN"/>
              </w:rPr>
            </w:pPr>
            <w:r>
              <w:rPr>
                <w:rFonts w:hint="eastAsia" w:ascii="仿宋" w:hAnsi="仿宋" w:eastAsia="仿宋"/>
                <w:sz w:val="32"/>
                <w:szCs w:val="32"/>
                <w:shd w:val="clear" w:color="auto" w:fill="auto"/>
                <w:vertAlign w:val="baseline"/>
                <w:lang w:val="en-US" w:eastAsia="zh-CN"/>
              </w:rPr>
              <w:t>1</w:t>
            </w:r>
          </w:p>
        </w:tc>
        <w:tc>
          <w:tcPr>
            <w:tcW w:w="450" w:type="dxa"/>
          </w:tcPr>
          <w:p w14:paraId="7F3B3EF5">
            <w:pPr>
              <w:adjustRightInd w:val="0"/>
              <w:spacing w:line="240" w:lineRule="auto"/>
              <w:jc w:val="left"/>
              <w:rPr>
                <w:rFonts w:hint="eastAsia" w:ascii="仿宋" w:hAnsi="仿宋" w:eastAsia="仿宋"/>
                <w:sz w:val="28"/>
                <w:szCs w:val="28"/>
                <w:shd w:val="clear" w:color="auto" w:fill="auto"/>
                <w:vertAlign w:val="baseline"/>
                <w:lang w:eastAsia="zh-CN"/>
              </w:rPr>
            </w:pPr>
            <w:r>
              <w:rPr>
                <w:rFonts w:hint="eastAsia" w:ascii="仿宋" w:hAnsi="仿宋" w:eastAsia="仿宋"/>
                <w:sz w:val="28"/>
                <w:szCs w:val="28"/>
                <w:shd w:val="clear" w:color="auto" w:fill="auto"/>
                <w:vertAlign w:val="baseline"/>
                <w:lang w:eastAsia="zh-CN"/>
              </w:rPr>
              <w:t>项</w:t>
            </w:r>
          </w:p>
        </w:tc>
        <w:tc>
          <w:tcPr>
            <w:tcW w:w="525" w:type="dxa"/>
          </w:tcPr>
          <w:p w14:paraId="3E6E3C0C">
            <w:pPr>
              <w:adjustRightInd w:val="0"/>
              <w:spacing w:line="240" w:lineRule="auto"/>
              <w:jc w:val="left"/>
              <w:rPr>
                <w:rFonts w:hint="eastAsia" w:ascii="仿宋" w:hAnsi="仿宋" w:eastAsia="仿宋"/>
                <w:sz w:val="32"/>
                <w:szCs w:val="32"/>
                <w:shd w:val="clear" w:color="auto" w:fill="auto"/>
                <w:vertAlign w:val="baseline"/>
              </w:rPr>
            </w:pPr>
          </w:p>
        </w:tc>
        <w:tc>
          <w:tcPr>
            <w:tcW w:w="525" w:type="dxa"/>
          </w:tcPr>
          <w:p w14:paraId="4094711D">
            <w:pPr>
              <w:adjustRightInd w:val="0"/>
              <w:spacing w:line="240" w:lineRule="auto"/>
              <w:jc w:val="left"/>
              <w:rPr>
                <w:rFonts w:hint="eastAsia" w:ascii="仿宋" w:hAnsi="仿宋" w:eastAsia="仿宋"/>
                <w:sz w:val="32"/>
                <w:szCs w:val="32"/>
                <w:shd w:val="clear" w:color="auto" w:fill="auto"/>
                <w:vertAlign w:val="baseline"/>
              </w:rPr>
            </w:pPr>
          </w:p>
        </w:tc>
        <w:tc>
          <w:tcPr>
            <w:tcW w:w="2303" w:type="dxa"/>
          </w:tcPr>
          <w:p w14:paraId="6FCB2E94">
            <w:pPr>
              <w:adjustRightInd w:val="0"/>
              <w:spacing w:line="240" w:lineRule="auto"/>
              <w:jc w:val="left"/>
              <w:rPr>
                <w:rFonts w:hint="eastAsia" w:ascii="仿宋" w:hAnsi="仿宋" w:eastAsia="仿宋"/>
                <w:sz w:val="32"/>
                <w:szCs w:val="32"/>
                <w:shd w:val="clear" w:color="auto" w:fill="auto"/>
                <w:vertAlign w:val="baseline"/>
              </w:rPr>
            </w:pPr>
          </w:p>
        </w:tc>
      </w:tr>
      <w:tr w14:paraId="5991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16" w:type="dxa"/>
          </w:tcPr>
          <w:p w14:paraId="5CDE9B35">
            <w:pPr>
              <w:adjustRightInd w:val="0"/>
              <w:spacing w:line="240" w:lineRule="auto"/>
              <w:jc w:val="left"/>
              <w:rPr>
                <w:rFonts w:hint="eastAsia" w:ascii="仿宋" w:hAnsi="仿宋" w:eastAsia="仿宋"/>
                <w:sz w:val="32"/>
                <w:szCs w:val="32"/>
                <w:shd w:val="clear" w:color="auto" w:fill="auto"/>
                <w:vertAlign w:val="baseline"/>
                <w:lang w:val="en-US" w:eastAsia="zh-CN"/>
              </w:rPr>
            </w:pPr>
            <w:r>
              <w:rPr>
                <w:rFonts w:hint="eastAsia" w:ascii="仿宋" w:hAnsi="仿宋" w:eastAsia="仿宋"/>
                <w:sz w:val="32"/>
                <w:szCs w:val="32"/>
                <w:shd w:val="clear" w:color="auto" w:fill="auto"/>
                <w:vertAlign w:val="baseline"/>
                <w:lang w:val="en-US" w:eastAsia="zh-CN"/>
              </w:rPr>
              <w:t>3</w:t>
            </w:r>
          </w:p>
        </w:tc>
        <w:tc>
          <w:tcPr>
            <w:tcW w:w="795" w:type="dxa"/>
          </w:tcPr>
          <w:p w14:paraId="7657583F">
            <w:pPr>
              <w:adjustRightInd w:val="0"/>
              <w:spacing w:line="240" w:lineRule="auto"/>
              <w:jc w:val="left"/>
              <w:rPr>
                <w:rFonts w:hint="eastAsia" w:ascii="仿宋" w:hAnsi="仿宋" w:eastAsia="仿宋"/>
                <w:sz w:val="32"/>
                <w:szCs w:val="32"/>
                <w:shd w:val="clear" w:color="auto" w:fill="auto"/>
                <w:vertAlign w:val="baseline"/>
                <w:lang w:eastAsia="zh-CN"/>
              </w:rPr>
            </w:pPr>
            <w:r>
              <w:rPr>
                <w:rFonts w:hint="eastAsia" w:ascii="仿宋" w:hAnsi="仿宋" w:eastAsia="仿宋"/>
                <w:sz w:val="24"/>
                <w:szCs w:val="24"/>
                <w:shd w:val="clear" w:color="auto" w:fill="auto"/>
                <w:vertAlign w:val="baseline"/>
                <w:lang w:eastAsia="zh-CN"/>
              </w:rPr>
              <w:t>总价</w:t>
            </w:r>
          </w:p>
        </w:tc>
        <w:tc>
          <w:tcPr>
            <w:tcW w:w="2976" w:type="dxa"/>
          </w:tcPr>
          <w:p w14:paraId="3340669B">
            <w:pPr>
              <w:adjustRightInd w:val="0"/>
              <w:spacing w:line="240" w:lineRule="auto"/>
              <w:jc w:val="left"/>
              <w:rPr>
                <w:rFonts w:hint="eastAsia" w:ascii="仿宋" w:hAnsi="仿宋" w:eastAsia="仿宋"/>
                <w:sz w:val="32"/>
                <w:szCs w:val="32"/>
                <w:shd w:val="clear" w:color="auto" w:fill="auto"/>
                <w:vertAlign w:val="baseline"/>
              </w:rPr>
            </w:pPr>
          </w:p>
        </w:tc>
        <w:tc>
          <w:tcPr>
            <w:tcW w:w="4235" w:type="dxa"/>
            <w:gridSpan w:val="5"/>
          </w:tcPr>
          <w:p w14:paraId="5C0C5FA8">
            <w:pPr>
              <w:adjustRightInd w:val="0"/>
              <w:spacing w:line="240" w:lineRule="auto"/>
              <w:jc w:val="left"/>
              <w:rPr>
                <w:rFonts w:hint="eastAsia" w:ascii="仿宋" w:hAnsi="仿宋" w:eastAsia="仿宋"/>
                <w:sz w:val="32"/>
                <w:szCs w:val="32"/>
                <w:shd w:val="clear" w:color="auto" w:fill="auto"/>
                <w:vertAlign w:val="baseline"/>
              </w:rPr>
            </w:pPr>
          </w:p>
        </w:tc>
      </w:tr>
    </w:tbl>
    <w:p w14:paraId="403889F2">
      <w:pPr>
        <w:adjustRightInd w:val="0"/>
        <w:spacing w:line="240" w:lineRule="auto"/>
        <w:ind w:firstLine="640" w:firstLineChars="200"/>
        <w:jc w:val="left"/>
        <w:rPr>
          <w:rFonts w:hint="eastAsia" w:ascii="仿宋" w:hAnsi="仿宋" w:eastAsia="仿宋"/>
          <w:sz w:val="32"/>
          <w:szCs w:val="32"/>
          <w:shd w:val="clear" w:color="auto" w:fill="auto"/>
        </w:rPr>
      </w:pPr>
    </w:p>
    <w:p w14:paraId="0B6D7F75">
      <w:pPr>
        <w:adjustRightInd w:val="0"/>
        <w:spacing w:line="480" w:lineRule="exact"/>
        <w:ind w:firstLine="640" w:firstLineChars="200"/>
        <w:jc w:val="left"/>
        <w:rPr>
          <w:rFonts w:hint="eastAsia" w:ascii="仿宋" w:hAnsi="仿宋" w:eastAsia="仿宋"/>
          <w:sz w:val="32"/>
          <w:szCs w:val="32"/>
        </w:rPr>
      </w:pPr>
    </w:p>
    <w:p w14:paraId="5B4715C0">
      <w:pPr>
        <w:adjustRightInd w:val="0"/>
        <w:spacing w:line="480" w:lineRule="exact"/>
        <w:ind w:firstLine="640" w:firstLineChars="200"/>
        <w:jc w:val="left"/>
        <w:rPr>
          <w:rFonts w:hint="eastAsia" w:ascii="仿宋" w:hAnsi="仿宋" w:eastAsia="仿宋"/>
          <w:sz w:val="32"/>
          <w:szCs w:val="32"/>
        </w:rPr>
      </w:pPr>
    </w:p>
    <w:p w14:paraId="74ECC623">
      <w:pPr>
        <w:adjustRightInd w:val="0"/>
        <w:spacing w:line="480" w:lineRule="exact"/>
        <w:ind w:firstLine="640" w:firstLineChars="200"/>
        <w:jc w:val="left"/>
        <w:rPr>
          <w:rFonts w:hint="eastAsia" w:ascii="仿宋" w:hAnsi="仿宋" w:eastAsia="仿宋"/>
          <w:sz w:val="32"/>
          <w:szCs w:val="32"/>
        </w:rPr>
      </w:pPr>
    </w:p>
    <w:p w14:paraId="5F34AF44">
      <w:pPr>
        <w:adjustRightInd w:val="0"/>
        <w:spacing w:line="480" w:lineRule="exact"/>
        <w:ind w:firstLine="640" w:firstLineChars="200"/>
        <w:jc w:val="left"/>
        <w:rPr>
          <w:rFonts w:hint="eastAsia" w:ascii="仿宋" w:hAnsi="仿宋" w:eastAsia="仿宋"/>
          <w:sz w:val="32"/>
          <w:szCs w:val="32"/>
        </w:rPr>
      </w:pPr>
    </w:p>
    <w:p w14:paraId="00859770">
      <w:pPr>
        <w:adjustRightInd w:val="0"/>
        <w:spacing w:line="480" w:lineRule="exact"/>
        <w:ind w:firstLine="640" w:firstLineChars="200"/>
        <w:jc w:val="left"/>
        <w:rPr>
          <w:rFonts w:hint="eastAsia" w:ascii="仿宋" w:hAnsi="仿宋" w:eastAsia="仿宋"/>
          <w:sz w:val="32"/>
          <w:szCs w:val="32"/>
        </w:rPr>
      </w:pPr>
    </w:p>
    <w:p w14:paraId="56F11652">
      <w:pPr>
        <w:adjustRightInd w:val="0"/>
        <w:spacing w:line="480" w:lineRule="exact"/>
        <w:ind w:firstLine="640" w:firstLineChars="200"/>
        <w:jc w:val="left"/>
        <w:rPr>
          <w:rFonts w:hint="eastAsia" w:ascii="仿宋" w:hAnsi="仿宋" w:eastAsia="仿宋"/>
          <w:sz w:val="32"/>
          <w:szCs w:val="32"/>
        </w:rPr>
      </w:pPr>
    </w:p>
    <w:p w14:paraId="532DD445">
      <w:pPr>
        <w:adjustRightInd w:val="0"/>
        <w:spacing w:line="480" w:lineRule="exact"/>
        <w:ind w:firstLine="640" w:firstLineChars="200"/>
        <w:jc w:val="left"/>
        <w:rPr>
          <w:rFonts w:hint="eastAsia" w:ascii="仿宋" w:hAnsi="仿宋" w:eastAsia="仿宋"/>
          <w:sz w:val="32"/>
          <w:szCs w:val="32"/>
        </w:rPr>
      </w:pPr>
    </w:p>
    <w:p w14:paraId="31442369">
      <w:pPr>
        <w:adjustRightInd w:val="0"/>
        <w:spacing w:line="480" w:lineRule="exact"/>
        <w:ind w:firstLine="640" w:firstLineChars="200"/>
        <w:jc w:val="left"/>
        <w:rPr>
          <w:rFonts w:hint="eastAsia" w:ascii="仿宋" w:hAnsi="仿宋" w:eastAsia="仿宋"/>
          <w:sz w:val="32"/>
          <w:szCs w:val="32"/>
        </w:rPr>
      </w:pPr>
    </w:p>
    <w:p w14:paraId="2E5425BB">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CA131CD"/>
    <w:rsid w:val="0D0F64A4"/>
    <w:rsid w:val="0F413746"/>
    <w:rsid w:val="0FA80C02"/>
    <w:rsid w:val="11E91552"/>
    <w:rsid w:val="1407008B"/>
    <w:rsid w:val="17B92F10"/>
    <w:rsid w:val="1A436089"/>
    <w:rsid w:val="1D7E47CC"/>
    <w:rsid w:val="1EE92A08"/>
    <w:rsid w:val="21294361"/>
    <w:rsid w:val="21BD09EA"/>
    <w:rsid w:val="24877D1C"/>
    <w:rsid w:val="260A2BD1"/>
    <w:rsid w:val="261F562C"/>
    <w:rsid w:val="268E37D0"/>
    <w:rsid w:val="2927562A"/>
    <w:rsid w:val="2A284628"/>
    <w:rsid w:val="2A61691A"/>
    <w:rsid w:val="2C5E172E"/>
    <w:rsid w:val="2DB97E61"/>
    <w:rsid w:val="2DD56FC0"/>
    <w:rsid w:val="2FC736C3"/>
    <w:rsid w:val="302F00B3"/>
    <w:rsid w:val="33B06877"/>
    <w:rsid w:val="33D62F2A"/>
    <w:rsid w:val="33D91C17"/>
    <w:rsid w:val="383E1A38"/>
    <w:rsid w:val="38807B07"/>
    <w:rsid w:val="389F10A1"/>
    <w:rsid w:val="38F018EE"/>
    <w:rsid w:val="396D003B"/>
    <w:rsid w:val="3B4535CA"/>
    <w:rsid w:val="3C28163E"/>
    <w:rsid w:val="40217FC5"/>
    <w:rsid w:val="47D37BB9"/>
    <w:rsid w:val="495C4EE9"/>
    <w:rsid w:val="4B105AC6"/>
    <w:rsid w:val="4B4F092F"/>
    <w:rsid w:val="4BFB3039"/>
    <w:rsid w:val="50914CAD"/>
    <w:rsid w:val="54574A59"/>
    <w:rsid w:val="559D5D6A"/>
    <w:rsid w:val="57FA7A08"/>
    <w:rsid w:val="5A1E41A4"/>
    <w:rsid w:val="5DFB43B4"/>
    <w:rsid w:val="5F2B74DB"/>
    <w:rsid w:val="5F4E5B29"/>
    <w:rsid w:val="644B741C"/>
    <w:rsid w:val="64E87C67"/>
    <w:rsid w:val="65385D05"/>
    <w:rsid w:val="67D01153"/>
    <w:rsid w:val="69F03EBF"/>
    <w:rsid w:val="6D0D7C60"/>
    <w:rsid w:val="6D6C185A"/>
    <w:rsid w:val="6E557E91"/>
    <w:rsid w:val="6F532332"/>
    <w:rsid w:val="719F0EA2"/>
    <w:rsid w:val="72694E43"/>
    <w:rsid w:val="73BD0A2D"/>
    <w:rsid w:val="7C3D2E30"/>
    <w:rsid w:val="7D736EF5"/>
    <w:rsid w:val="7E0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 w:type="character" w:customStyle="1" w:styleId="20">
    <w:name w:val="font51"/>
    <w:basedOn w:val="8"/>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857</Words>
  <Characters>961</Characters>
  <Lines>8</Lines>
  <Paragraphs>2</Paragraphs>
  <TotalTime>4</TotalTime>
  <ScaleCrop>false</ScaleCrop>
  <LinksUpToDate>false</LinksUpToDate>
  <CharactersWithSpaces>966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Administrator</cp:lastModifiedBy>
  <cp:lastPrinted>2025-08-04T04:22:00Z</cp:lastPrinted>
  <dcterms:modified xsi:type="dcterms:W3CDTF">2025-08-15T01:45:45Z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8057B4B847FA4D868CF1459E737522B8_13</vt:lpwstr>
  </property>
  <property fmtid="{D5CDD505-2E9C-101B-9397-08002B2CF9AE}" pid="4" name="KSOTemplateDocerSaveRecord">
    <vt:lpwstr>eyJoZGlkIjoiNzdlMDVkNDYwYmZkNTE5NGQ0ZTdiYzI2ZDFhMjhiMWQifQ==</vt:lpwstr>
  </property>
</Properties>
</file>