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CC5F7">
      <w:pPr>
        <w:jc w:val="both"/>
        <w:rPr>
          <w:rFonts w:ascii="方正小标宋简体" w:hAnsi="仿宋" w:eastAsia="方正小标宋简体"/>
          <w:b/>
          <w:bCs/>
          <w:sz w:val="44"/>
          <w:szCs w:val="44"/>
        </w:rPr>
      </w:pPr>
      <w:r>
        <w:rPr>
          <w:rFonts w:hint="eastAsia" w:ascii="方正小标宋简体" w:hAnsi="仿宋" w:eastAsia="方正小标宋简体"/>
          <w:b/>
          <w:bCs/>
          <w:sz w:val="44"/>
          <w:szCs w:val="44"/>
          <w:lang w:val="en-US" w:eastAsia="zh-CN"/>
        </w:rPr>
        <w:t>北固食堂病员餐厅顶棚出新</w:t>
      </w:r>
      <w:r>
        <w:rPr>
          <w:rFonts w:hint="eastAsia" w:ascii="方正小标宋简体" w:hAnsi="仿宋" w:eastAsia="方正小标宋简体"/>
          <w:b/>
          <w:bCs/>
          <w:sz w:val="44"/>
          <w:szCs w:val="44"/>
        </w:rPr>
        <w:t>项目比价方案</w:t>
      </w:r>
    </w:p>
    <w:p w14:paraId="3E9819C4">
      <w:pPr>
        <w:ind w:firstLine="640" w:firstLineChars="200"/>
        <w:rPr>
          <w:rFonts w:hint="default" w:ascii="仿宋" w:hAnsi="仿宋" w:eastAsia="仿宋"/>
          <w:sz w:val="32"/>
          <w:szCs w:val="32"/>
          <w:lang w:val="en-US" w:eastAsia="zh-CN"/>
        </w:rPr>
      </w:pPr>
      <w:r>
        <w:rPr>
          <w:rFonts w:hint="eastAsia" w:ascii="黑体" w:hAnsi="黑体" w:eastAsia="黑体"/>
          <w:sz w:val="32"/>
          <w:szCs w:val="32"/>
        </w:rPr>
        <w:t>一、项目名称</w:t>
      </w:r>
      <w:r>
        <w:rPr>
          <w:rFonts w:hint="eastAsia" w:ascii="仿宋" w:hAnsi="仿宋" w:eastAsia="仿宋"/>
          <w:sz w:val="32"/>
          <w:szCs w:val="32"/>
        </w:rPr>
        <w:t>：</w:t>
      </w:r>
      <w:r>
        <w:rPr>
          <w:rFonts w:hint="eastAsia" w:ascii="仿宋" w:hAnsi="仿宋" w:eastAsia="仿宋"/>
          <w:sz w:val="32"/>
          <w:szCs w:val="32"/>
          <w:lang w:val="en-US" w:eastAsia="zh-CN"/>
        </w:rPr>
        <w:t>北固食堂病员餐厅顶棚出新</w:t>
      </w:r>
    </w:p>
    <w:p w14:paraId="207E65F3">
      <w:pPr>
        <w:ind w:firstLine="640" w:firstLineChars="200"/>
        <w:rPr>
          <w:rFonts w:ascii="仿宋" w:hAnsi="仿宋" w:eastAsia="仿宋"/>
          <w:sz w:val="32"/>
          <w:szCs w:val="32"/>
        </w:rPr>
      </w:pPr>
      <w:r>
        <w:rPr>
          <w:rFonts w:hint="eastAsia" w:ascii="黑体" w:hAnsi="黑体" w:eastAsia="黑体"/>
          <w:sz w:val="32"/>
          <w:szCs w:val="32"/>
        </w:rPr>
        <w:t>二、项目概况及要求</w:t>
      </w:r>
      <w:r>
        <w:rPr>
          <w:rFonts w:hint="eastAsia" w:ascii="仿宋" w:hAnsi="仿宋" w:eastAsia="仿宋"/>
          <w:sz w:val="32"/>
          <w:szCs w:val="32"/>
        </w:rPr>
        <w:t>：</w:t>
      </w:r>
    </w:p>
    <w:p w14:paraId="11EA9608">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楷体" w:hAnsi="楷体" w:eastAsia="楷体"/>
          <w:sz w:val="32"/>
          <w:szCs w:val="32"/>
        </w:rPr>
        <w:t>㈠项目概况</w:t>
      </w:r>
      <w:r>
        <w:rPr>
          <w:rFonts w:hint="eastAsia" w:ascii="仿宋" w:hAnsi="仿宋" w:eastAsia="仿宋"/>
          <w:sz w:val="32"/>
          <w:szCs w:val="32"/>
        </w:rPr>
        <w:t>：</w:t>
      </w:r>
      <w:r>
        <w:rPr>
          <w:rFonts w:hint="eastAsia" w:ascii="仿宋" w:hAnsi="仿宋" w:eastAsia="仿宋"/>
          <w:sz w:val="32"/>
          <w:szCs w:val="32"/>
          <w:lang w:val="en-US" w:eastAsia="zh-CN"/>
        </w:rPr>
        <w:t>为切实落实“三优一满意”政策，需将北固食堂二楼东侧病员餐厅顶棚进行出新，以满足广大病员的需求</w:t>
      </w:r>
      <w:r>
        <w:rPr>
          <w:rFonts w:hint="eastAsia" w:ascii="仿宋" w:hAnsi="仿宋" w:eastAsia="仿宋"/>
          <w:sz w:val="32"/>
          <w:szCs w:val="32"/>
          <w:lang w:eastAsia="zh-CN"/>
        </w:rPr>
        <w:t>（具体</w:t>
      </w:r>
      <w:r>
        <w:rPr>
          <w:rFonts w:hint="eastAsia" w:ascii="仿宋" w:hAnsi="仿宋" w:eastAsia="仿宋"/>
          <w:sz w:val="32"/>
          <w:szCs w:val="32"/>
          <w:lang w:val="en-US" w:eastAsia="zh-CN"/>
        </w:rPr>
        <w:t>出新面积须</w:t>
      </w:r>
      <w:r>
        <w:rPr>
          <w:rFonts w:hint="eastAsia" w:ascii="仿宋" w:hAnsi="仿宋" w:eastAsia="仿宋"/>
          <w:sz w:val="32"/>
          <w:szCs w:val="32"/>
          <w:lang w:eastAsia="zh-CN"/>
        </w:rPr>
        <w:t>自行现场测量）</w:t>
      </w:r>
      <w:r>
        <w:rPr>
          <w:rFonts w:hint="eastAsia" w:ascii="仿宋" w:hAnsi="仿宋" w:eastAsia="仿宋"/>
          <w:sz w:val="32"/>
          <w:szCs w:val="32"/>
          <w:lang w:val="en-US" w:eastAsia="zh-CN"/>
        </w:rPr>
        <w:t>。</w:t>
      </w:r>
    </w:p>
    <w:p w14:paraId="7103F0F2">
      <w:pPr>
        <w:ind w:firstLine="640" w:firstLineChars="200"/>
        <w:rPr>
          <w:rFonts w:hint="eastAsia" w:ascii="仿宋" w:hAnsi="仿宋" w:eastAsia="仿宋"/>
          <w:sz w:val="32"/>
          <w:szCs w:val="32"/>
        </w:rPr>
      </w:pPr>
      <w:r>
        <w:rPr>
          <w:rFonts w:hint="eastAsia" w:ascii="楷体" w:hAnsi="楷体" w:eastAsia="楷体"/>
          <w:sz w:val="32"/>
          <w:szCs w:val="32"/>
        </w:rPr>
        <w:t>㈡施工要求</w:t>
      </w:r>
      <w:r>
        <w:rPr>
          <w:rFonts w:hint="eastAsia" w:ascii="仿宋" w:hAnsi="仿宋" w:eastAsia="仿宋"/>
          <w:sz w:val="32"/>
          <w:szCs w:val="32"/>
        </w:rPr>
        <w:t>：</w:t>
      </w:r>
    </w:p>
    <w:p w14:paraId="5F03A03D">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墙面、顶面发霉地方处理；</w:t>
      </w:r>
    </w:p>
    <w:p w14:paraId="6819F631">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墙面、顶面油漆出新（立邦净味乳胶漆）；</w:t>
      </w:r>
    </w:p>
    <w:p w14:paraId="66DDB088">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施工时须做好防尘保护；</w:t>
      </w:r>
    </w:p>
    <w:p w14:paraId="08EAC0ED">
      <w:pPr>
        <w:numPr>
          <w:ilvl w:val="0"/>
          <w:numId w:val="0"/>
        </w:numPr>
        <w:ind w:firstLine="640" w:firstLineChars="200"/>
        <w:rPr>
          <w:rFonts w:ascii="仿宋" w:hAnsi="仿宋" w:eastAsia="仿宋"/>
          <w:sz w:val="32"/>
          <w:szCs w:val="32"/>
          <w:lang w:val="zh-CN"/>
        </w:rPr>
      </w:pPr>
      <w:r>
        <w:rPr>
          <w:rFonts w:hint="eastAsia" w:ascii="仿宋" w:hAnsi="仿宋" w:eastAsia="仿宋"/>
          <w:sz w:val="32"/>
          <w:szCs w:val="32"/>
          <w:lang w:val="en-US" w:eastAsia="zh-CN"/>
        </w:rPr>
        <w:t>4.</w:t>
      </w:r>
      <w:r>
        <w:rPr>
          <w:rFonts w:hint="eastAsia" w:ascii="仿宋" w:hAnsi="仿宋" w:eastAsia="仿宋"/>
          <w:sz w:val="32"/>
          <w:szCs w:val="32"/>
          <w:lang w:val="zh-CN"/>
        </w:rPr>
        <w:t>施工过程中不得损坏任何设备，不得影响科室正常工作，尽可能减少噪音，所有垃圾清除出医院；</w:t>
      </w:r>
    </w:p>
    <w:p w14:paraId="44C3E42E">
      <w:pPr>
        <w:numPr>
          <w:ilvl w:val="0"/>
          <w:numId w:val="0"/>
        </w:numPr>
        <w:ind w:firstLine="640" w:firstLineChars="200"/>
        <w:rPr>
          <w:rFonts w:ascii="仿宋" w:hAnsi="仿宋" w:eastAsia="仿宋"/>
          <w:sz w:val="32"/>
          <w:szCs w:val="32"/>
          <w:lang w:val="zh-CN"/>
        </w:rPr>
      </w:pPr>
      <w:r>
        <w:rPr>
          <w:rFonts w:hint="eastAsia" w:ascii="仿宋" w:hAnsi="仿宋" w:eastAsia="仿宋" w:cs="仿宋"/>
          <w:sz w:val="32"/>
          <w:szCs w:val="32"/>
          <w:lang w:val="en-US" w:eastAsia="zh-CN"/>
        </w:rPr>
        <w:t>5.施工期间，施工人员安全及施工场所人员安全由施工方负责，和医院没有任何关系。</w:t>
      </w:r>
    </w:p>
    <w:p w14:paraId="2C7FAC08">
      <w:pPr>
        <w:ind w:firstLine="640" w:firstLineChars="200"/>
        <w:rPr>
          <w:rFonts w:ascii="仿宋" w:hAnsi="仿宋" w:eastAsia="仿宋"/>
          <w:sz w:val="32"/>
          <w:szCs w:val="32"/>
        </w:rPr>
      </w:pPr>
      <w:r>
        <w:rPr>
          <w:rFonts w:hint="eastAsia" w:ascii="楷体" w:hAnsi="楷体" w:eastAsia="楷体"/>
          <w:sz w:val="32"/>
          <w:szCs w:val="32"/>
        </w:rPr>
        <w:t>㈢质保期</w:t>
      </w:r>
      <w:r>
        <w:rPr>
          <w:rFonts w:hint="eastAsia" w:ascii="仿宋" w:hAnsi="仿宋" w:eastAsia="仿宋"/>
          <w:sz w:val="32"/>
          <w:szCs w:val="32"/>
        </w:rPr>
        <w:t>：</w:t>
      </w:r>
    </w:p>
    <w:p w14:paraId="4BF65993">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sz w:val="32"/>
          <w:szCs w:val="32"/>
        </w:rPr>
        <w:t>本项目质保期为</w:t>
      </w:r>
      <w:r>
        <w:rPr>
          <w:rFonts w:hint="eastAsia" w:ascii="仿宋" w:hAnsi="仿宋" w:eastAsia="仿宋"/>
          <w:sz w:val="32"/>
          <w:szCs w:val="32"/>
          <w:lang w:eastAsia="zh-CN"/>
        </w:rPr>
        <w:t>两年</w:t>
      </w:r>
      <w:r>
        <w:rPr>
          <w:rFonts w:hint="eastAsia" w:ascii="仿宋" w:hAnsi="仿宋" w:eastAsia="仿宋"/>
          <w:sz w:val="32"/>
          <w:szCs w:val="32"/>
        </w:rPr>
        <w:t>（自验收合格之日起计），质保期内若出现非人为因素损坏，施工单位负责</w:t>
      </w:r>
      <w:r>
        <w:rPr>
          <w:rFonts w:hint="eastAsia" w:ascii="仿宋" w:hAnsi="仿宋" w:eastAsia="仿宋"/>
          <w:sz w:val="32"/>
          <w:szCs w:val="32"/>
          <w:lang w:eastAsia="zh-CN"/>
        </w:rPr>
        <w:t>免费</w:t>
      </w:r>
      <w:r>
        <w:rPr>
          <w:rFonts w:hint="eastAsia" w:ascii="仿宋" w:hAnsi="仿宋" w:eastAsia="仿宋"/>
          <w:sz w:val="32"/>
          <w:szCs w:val="32"/>
        </w:rPr>
        <w:t>进行维修</w:t>
      </w:r>
      <w:r>
        <w:rPr>
          <w:rFonts w:hint="eastAsia" w:ascii="仿宋" w:hAnsi="仿宋" w:eastAsia="仿宋"/>
          <w:sz w:val="32"/>
          <w:szCs w:val="32"/>
          <w:lang w:eastAsia="zh-CN"/>
        </w:rPr>
        <w:t>更换</w:t>
      </w:r>
      <w:r>
        <w:rPr>
          <w:rFonts w:hint="eastAsia" w:ascii="仿宋" w:hAnsi="仿宋" w:eastAsia="仿宋"/>
          <w:sz w:val="32"/>
          <w:szCs w:val="32"/>
        </w:rPr>
        <w:t>。</w:t>
      </w:r>
    </w:p>
    <w:p w14:paraId="0A8B5B44">
      <w:pPr>
        <w:ind w:firstLine="640" w:firstLineChars="200"/>
        <w:rPr>
          <w:rFonts w:ascii="仿宋" w:hAnsi="仿宋" w:eastAsia="仿宋"/>
          <w:sz w:val="32"/>
          <w:szCs w:val="32"/>
        </w:rPr>
      </w:pPr>
      <w:r>
        <w:rPr>
          <w:rFonts w:hint="eastAsia" w:ascii="楷体" w:hAnsi="楷体" w:eastAsia="楷体"/>
          <w:sz w:val="32"/>
          <w:szCs w:val="32"/>
        </w:rPr>
        <w:t>㈣费用结算</w:t>
      </w:r>
      <w:r>
        <w:rPr>
          <w:rFonts w:hint="eastAsia" w:ascii="仿宋" w:hAnsi="仿宋" w:eastAsia="仿宋"/>
          <w:sz w:val="32"/>
          <w:szCs w:val="32"/>
        </w:rPr>
        <w:t>：</w:t>
      </w:r>
    </w:p>
    <w:p w14:paraId="4738D879">
      <w:pPr>
        <w:ind w:firstLine="640" w:firstLineChars="200"/>
        <w:rPr>
          <w:rFonts w:ascii="仿宋" w:hAnsi="仿宋" w:eastAsia="仿宋"/>
          <w:sz w:val="32"/>
          <w:szCs w:val="32"/>
        </w:rPr>
      </w:pPr>
      <w:r>
        <w:rPr>
          <w:rFonts w:hint="eastAsia" w:ascii="仿宋" w:hAnsi="仿宋" w:eastAsia="仿宋"/>
          <w:sz w:val="32"/>
          <w:szCs w:val="32"/>
        </w:rPr>
        <w:t>1.投标报价为一口价，包含整个项目中产生的材料费、人工费</w:t>
      </w:r>
      <w:r>
        <w:rPr>
          <w:rFonts w:hint="eastAsia" w:ascii="仿宋" w:hAnsi="仿宋" w:eastAsia="仿宋"/>
          <w:sz w:val="32"/>
          <w:szCs w:val="32"/>
          <w:lang w:eastAsia="zh-CN"/>
        </w:rPr>
        <w:t>、税金</w:t>
      </w:r>
      <w:r>
        <w:rPr>
          <w:rFonts w:hint="eastAsia" w:ascii="仿宋" w:hAnsi="仿宋" w:eastAsia="仿宋"/>
          <w:sz w:val="32"/>
          <w:szCs w:val="32"/>
        </w:rPr>
        <w:t>等所有费用。</w:t>
      </w:r>
    </w:p>
    <w:p w14:paraId="319684A6">
      <w:pPr>
        <w:ind w:firstLine="640" w:firstLineChars="200"/>
        <w:rPr>
          <w:rFonts w:ascii="仿宋" w:hAnsi="仿宋" w:eastAsia="仿宋"/>
          <w:sz w:val="32"/>
          <w:szCs w:val="32"/>
        </w:rPr>
      </w:pPr>
      <w:r>
        <w:rPr>
          <w:rFonts w:hint="eastAsia" w:ascii="仿宋" w:hAnsi="仿宋" w:eastAsia="仿宋"/>
          <w:sz w:val="32"/>
          <w:szCs w:val="32"/>
        </w:rPr>
        <w:t>2.施工结束，经验收合格，</w:t>
      </w:r>
      <w:r>
        <w:rPr>
          <w:rFonts w:hint="eastAsia" w:ascii="仿宋" w:hAnsi="仿宋" w:eastAsia="仿宋"/>
          <w:sz w:val="32"/>
          <w:szCs w:val="32"/>
          <w:lang w:val="en-US" w:eastAsia="zh-CN"/>
        </w:rPr>
        <w:t>3个月后</w:t>
      </w:r>
      <w:r>
        <w:rPr>
          <w:rFonts w:hint="eastAsia" w:ascii="仿宋" w:hAnsi="仿宋" w:eastAsia="仿宋"/>
          <w:sz w:val="32"/>
          <w:szCs w:val="32"/>
        </w:rPr>
        <w:t>付款。</w:t>
      </w:r>
    </w:p>
    <w:p w14:paraId="4CBF8CBE">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中标单位中标后因故不能完成或</w:t>
      </w:r>
      <w:r>
        <w:rPr>
          <w:rFonts w:hint="eastAsia" w:ascii="仿宋" w:hAnsi="仿宋" w:eastAsia="仿宋"/>
          <w:sz w:val="32"/>
          <w:szCs w:val="32"/>
        </w:rPr>
        <w:t>质保期内未能及时响应且给招标单位造成不良后果的将被列入黑名单，不再允许参加招标单位各类招标项目。</w:t>
      </w:r>
    </w:p>
    <w:p w14:paraId="42688BDB">
      <w:pPr>
        <w:ind w:firstLine="640" w:firstLineChars="200"/>
        <w:rPr>
          <w:rFonts w:ascii="仿宋" w:hAnsi="仿宋" w:eastAsia="仿宋"/>
          <w:sz w:val="32"/>
          <w:szCs w:val="32"/>
        </w:rPr>
      </w:pPr>
      <w:r>
        <w:rPr>
          <w:rFonts w:hint="eastAsia" w:ascii="黑体" w:hAnsi="黑体" w:eastAsia="黑体"/>
          <w:sz w:val="32"/>
          <w:szCs w:val="32"/>
        </w:rPr>
        <w:t>三、投标人资质要求</w:t>
      </w:r>
      <w:r>
        <w:rPr>
          <w:rFonts w:hint="eastAsia" w:ascii="仿宋" w:hAnsi="仿宋" w:eastAsia="仿宋"/>
          <w:sz w:val="32"/>
          <w:szCs w:val="32"/>
        </w:rPr>
        <w:t>：</w:t>
      </w:r>
    </w:p>
    <w:p w14:paraId="56A462C9">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1.持有效的营业执照，经营范围包含本项目的内容</w:t>
      </w:r>
      <w:r>
        <w:rPr>
          <w:rFonts w:hint="eastAsia" w:ascii="仿宋" w:hAnsi="仿宋" w:eastAsia="仿宋"/>
          <w:color w:val="000000" w:themeColor="text1"/>
          <w:sz w:val="32"/>
          <w:szCs w:val="32"/>
          <w:lang w:eastAsia="zh-CN"/>
          <w14:textFill>
            <w14:solidFill>
              <w14:schemeClr w14:val="tx1"/>
            </w14:solidFill>
          </w14:textFill>
        </w:rPr>
        <w:t>（需提供登高作业证）</w:t>
      </w:r>
      <w:r>
        <w:rPr>
          <w:rFonts w:hint="eastAsia" w:ascii="仿宋" w:hAnsi="仿宋" w:eastAsia="仿宋"/>
          <w:color w:val="000000" w:themeColor="text1"/>
          <w:sz w:val="32"/>
          <w:szCs w:val="32"/>
          <w14:textFill>
            <w14:solidFill>
              <w14:schemeClr w14:val="tx1"/>
            </w14:solidFill>
          </w14:textFill>
        </w:rPr>
        <w:t>;</w:t>
      </w:r>
    </w:p>
    <w:p w14:paraId="70B5CD36">
      <w:pPr>
        <w:pStyle w:val="5"/>
        <w:shd w:val="clear" w:color="auto" w:fill="FFFFFF"/>
        <w:spacing w:before="0" w:beforeAutospacing="0" w:after="0" w:afterAutospacing="0"/>
        <w:ind w:firstLine="5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2.本项目不接受联合体投标，不得转包、分包；</w:t>
      </w:r>
    </w:p>
    <w:p w14:paraId="699DDC3F">
      <w:pPr>
        <w:pStyle w:val="5"/>
        <w:shd w:val="clear" w:color="auto" w:fill="FFFFFF"/>
        <w:spacing w:before="0" w:beforeAutospacing="0" w:after="0" w:afterAutospacing="0"/>
        <w:ind w:firstLine="54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3.法律、行政法规规定的其他条件</w:t>
      </w:r>
      <w:r>
        <w:rPr>
          <w:rFonts w:hint="eastAsia" w:ascii="仿宋" w:hAnsi="仿宋" w:eastAsia="仿宋"/>
          <w:color w:val="000000" w:themeColor="text1"/>
          <w:sz w:val="32"/>
          <w:szCs w:val="32"/>
          <w:lang w:eastAsia="zh-CN"/>
          <w14:textFill>
            <w14:solidFill>
              <w14:schemeClr w14:val="tx1"/>
            </w14:solidFill>
          </w14:textFill>
        </w:rPr>
        <w:t>。</w:t>
      </w:r>
    </w:p>
    <w:p w14:paraId="57729DB2">
      <w:pPr>
        <w:adjustRightInd w:val="0"/>
        <w:spacing w:line="480" w:lineRule="exact"/>
        <w:ind w:firstLine="643" w:firstLineChars="200"/>
        <w:jc w:val="left"/>
        <w:rPr>
          <w:rFonts w:ascii="仿宋" w:hAnsi="仿宋" w:eastAsia="仿宋"/>
          <w:color w:val="000000"/>
          <w:sz w:val="32"/>
          <w:szCs w:val="32"/>
        </w:rPr>
      </w:pPr>
      <w:r>
        <w:rPr>
          <w:rFonts w:hint="eastAsia" w:ascii="仿宋" w:hAnsi="仿宋" w:eastAsia="仿宋"/>
          <w:b/>
          <w:color w:val="000000"/>
          <w:sz w:val="32"/>
        </w:rPr>
        <w:t>四、资格审查方式及特殊情况说明：</w:t>
      </w:r>
    </w:p>
    <w:p w14:paraId="737CF45C">
      <w:pPr>
        <w:adjustRightInd w:val="0"/>
        <w:spacing w:line="500" w:lineRule="exact"/>
        <w:ind w:firstLine="640" w:firstLineChars="200"/>
        <w:jc w:val="left"/>
        <w:rPr>
          <w:rFonts w:ascii="仿宋" w:hAnsi="仿宋" w:eastAsia="仿宋"/>
          <w:color w:val="000000"/>
          <w:sz w:val="32"/>
        </w:rPr>
      </w:pPr>
      <w:r>
        <w:rPr>
          <w:rFonts w:hint="eastAsia" w:ascii="仿宋" w:hAnsi="仿宋" w:eastAsia="仿宋"/>
          <w:color w:val="000000"/>
          <w:sz w:val="32"/>
        </w:rPr>
        <w:t>本次采用资格后审方式。</w:t>
      </w:r>
    </w:p>
    <w:p w14:paraId="4597C62C">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1.满足询价文件实质性要求的单位数量达3家及以上的，公开询价采购，由最低报价的投标单位中标。若最低报价的投标单位有两家及以上，则现场采用二次报价方式，确定中标单位。</w:t>
      </w:r>
    </w:p>
    <w:p w14:paraId="7EBC1B51">
      <w:pPr>
        <w:pStyle w:val="5"/>
        <w:shd w:val="clear" w:color="auto" w:fill="FFFFFF"/>
        <w:adjustRightInd w:val="0"/>
        <w:spacing w:before="0" w:beforeAutospacing="0" w:after="0" w:afterAutospacing="0" w:line="500" w:lineRule="exact"/>
        <w:ind w:firstLine="640" w:firstLineChars="200"/>
        <w:jc w:val="both"/>
        <w:rPr>
          <w:rFonts w:ascii="仿宋" w:hAnsi="仿宋" w:eastAsia="仿宋"/>
          <w:sz w:val="32"/>
          <w:szCs w:val="32"/>
        </w:rPr>
      </w:pPr>
      <w:r>
        <w:rPr>
          <w:rFonts w:hint="eastAsia" w:ascii="仿宋" w:hAnsi="仿宋" w:eastAsia="仿宋"/>
          <w:sz w:val="32"/>
          <w:szCs w:val="32"/>
        </w:rPr>
        <w:t>2.满足询价文件实质性要求的单位数量仅有2家的，则现场转变采购方式，采用竞争性谈判的采购方式，确定中标单位。</w:t>
      </w:r>
    </w:p>
    <w:p w14:paraId="1BAD3D33">
      <w:pPr>
        <w:pStyle w:val="5"/>
        <w:shd w:val="clear" w:color="auto" w:fill="FFFFFF"/>
        <w:spacing w:before="0" w:beforeAutospacing="0" w:after="0" w:afterAutospacing="0" w:line="500" w:lineRule="exact"/>
        <w:ind w:firstLine="640" w:firstLineChars="200"/>
        <w:rPr>
          <w:rFonts w:ascii="仿宋" w:hAnsi="仿宋" w:eastAsia="仿宋"/>
          <w:sz w:val="30"/>
          <w:szCs w:val="30"/>
        </w:rPr>
      </w:pPr>
      <w:r>
        <w:rPr>
          <w:rFonts w:hint="eastAsia" w:ascii="仿宋" w:hAnsi="仿宋" w:eastAsia="仿宋"/>
          <w:sz w:val="32"/>
          <w:szCs w:val="32"/>
        </w:rPr>
        <w:t>3.满足询价文件实质性要求的单位数量仅有1家的，则现场转变采购方式，采用单一来源谈判的采购方式，确定中标单位。</w:t>
      </w:r>
    </w:p>
    <w:p w14:paraId="30257518">
      <w:pPr>
        <w:pStyle w:val="5"/>
        <w:shd w:val="clear" w:color="auto" w:fill="FFFFFF"/>
        <w:spacing w:before="0" w:beforeAutospacing="0" w:after="0" w:afterAutospacing="0" w:line="520" w:lineRule="exact"/>
        <w:ind w:firstLine="643" w:firstLineChars="200"/>
        <w:rPr>
          <w:rFonts w:hint="eastAsia" w:ascii="仿宋" w:hAnsi="仿宋" w:eastAsia="仿宋"/>
          <w:b/>
          <w:color w:val="000000"/>
          <w:kern w:val="2"/>
          <w:sz w:val="32"/>
          <w:szCs w:val="22"/>
        </w:rPr>
      </w:pPr>
      <w:r>
        <w:rPr>
          <w:rFonts w:hint="eastAsia" w:ascii="仿宋" w:hAnsi="仿宋" w:eastAsia="仿宋"/>
          <w:b/>
          <w:color w:val="000000"/>
          <w:kern w:val="2"/>
          <w:sz w:val="32"/>
          <w:szCs w:val="22"/>
        </w:rPr>
        <w:t>五、项目控制价为</w:t>
      </w:r>
      <w:r>
        <w:rPr>
          <w:rFonts w:hint="eastAsia" w:ascii="仿宋" w:hAnsi="仿宋" w:eastAsia="仿宋"/>
          <w:b/>
          <w:color w:val="000000"/>
          <w:kern w:val="2"/>
          <w:sz w:val="32"/>
          <w:szCs w:val="22"/>
          <w:lang w:val="en-US" w:eastAsia="zh-CN"/>
        </w:rPr>
        <w:t>19000</w:t>
      </w:r>
      <w:r>
        <w:rPr>
          <w:rFonts w:hint="eastAsia" w:ascii="仿宋" w:hAnsi="仿宋" w:eastAsia="仿宋"/>
          <w:b/>
          <w:color w:val="000000"/>
          <w:kern w:val="2"/>
          <w:sz w:val="32"/>
          <w:szCs w:val="22"/>
        </w:rPr>
        <w:t>元，报价不得高于控制价。</w:t>
      </w:r>
    </w:p>
    <w:p w14:paraId="322E6850">
      <w:pPr>
        <w:pStyle w:val="5"/>
        <w:shd w:val="clear" w:color="auto" w:fill="FFFFFF"/>
        <w:spacing w:before="0" w:beforeAutospacing="0" w:after="0" w:afterAutospacing="0" w:line="240" w:lineRule="auto"/>
        <w:rPr>
          <w:rFonts w:hint="eastAsia" w:ascii="仿宋" w:hAnsi="仿宋" w:eastAsia="仿宋"/>
          <w:sz w:val="32"/>
          <w:szCs w:val="32"/>
        </w:rPr>
      </w:pPr>
    </w:p>
    <w:p w14:paraId="254FBBED">
      <w:pPr>
        <w:pStyle w:val="5"/>
        <w:shd w:val="clear" w:color="auto" w:fill="FFFFFF"/>
        <w:spacing w:before="0" w:beforeAutospacing="0" w:after="0" w:afterAutospacing="0" w:line="240" w:lineRule="auto"/>
        <w:rPr>
          <w:rFonts w:hint="eastAsia" w:ascii="仿宋" w:hAnsi="仿宋" w:eastAsia="仿宋"/>
          <w:sz w:val="32"/>
          <w:szCs w:val="32"/>
        </w:rPr>
      </w:pPr>
    </w:p>
    <w:p w14:paraId="57840B9C">
      <w:pPr>
        <w:pStyle w:val="5"/>
        <w:shd w:val="clear" w:color="auto" w:fill="FFFFFF"/>
        <w:spacing w:before="0" w:beforeAutospacing="0" w:after="0" w:afterAutospacing="0" w:line="240" w:lineRule="auto"/>
        <w:rPr>
          <w:rFonts w:hint="eastAsia" w:ascii="仿宋" w:hAnsi="仿宋" w:eastAsia="仿宋"/>
          <w:sz w:val="32"/>
          <w:szCs w:val="32"/>
        </w:rPr>
      </w:pPr>
    </w:p>
    <w:p w14:paraId="54633C2B">
      <w:pPr>
        <w:pStyle w:val="5"/>
        <w:shd w:val="clear" w:color="auto" w:fill="FFFFFF"/>
        <w:spacing w:before="0" w:beforeAutospacing="0" w:after="0" w:afterAutospacing="0" w:line="240" w:lineRule="auto"/>
        <w:rPr>
          <w:rFonts w:hint="eastAsia" w:ascii="仿宋" w:hAnsi="仿宋" w:eastAsia="仿宋"/>
          <w:sz w:val="32"/>
          <w:szCs w:val="32"/>
        </w:rPr>
      </w:pPr>
    </w:p>
    <w:p w14:paraId="25EB31E2">
      <w:pPr>
        <w:pStyle w:val="5"/>
        <w:shd w:val="clear" w:color="auto" w:fill="FFFFFF"/>
        <w:spacing w:before="0" w:beforeAutospacing="0" w:after="0" w:afterAutospacing="0" w:line="240" w:lineRule="auto"/>
        <w:rPr>
          <w:rFonts w:hint="eastAsia" w:ascii="仿宋" w:hAnsi="仿宋" w:eastAsia="仿宋"/>
          <w:sz w:val="32"/>
          <w:szCs w:val="32"/>
        </w:rPr>
      </w:pPr>
    </w:p>
    <w:p w14:paraId="2F526801">
      <w:pPr>
        <w:pStyle w:val="5"/>
        <w:shd w:val="clear" w:color="auto" w:fill="FFFFFF"/>
        <w:spacing w:before="0" w:beforeAutospacing="0" w:after="0" w:afterAutospacing="0" w:line="240" w:lineRule="auto"/>
        <w:rPr>
          <w:rFonts w:hint="eastAsia" w:ascii="仿宋" w:hAnsi="仿宋" w:eastAsia="仿宋"/>
          <w:b/>
          <w:bCs/>
          <w:sz w:val="40"/>
          <w:szCs w:val="40"/>
          <w:lang w:eastAsia="zh-CN"/>
        </w:rPr>
      </w:pPr>
      <w:r>
        <w:rPr>
          <w:rFonts w:hint="eastAsia" w:ascii="仿宋" w:hAnsi="仿宋" w:eastAsia="仿宋"/>
          <w:sz w:val="32"/>
          <w:szCs w:val="32"/>
        </w:rPr>
        <w:t>附：</w:t>
      </w:r>
      <w:r>
        <w:rPr>
          <w:rFonts w:hint="eastAsia" w:ascii="仿宋" w:hAnsi="仿宋" w:eastAsia="仿宋"/>
          <w:sz w:val="32"/>
          <w:szCs w:val="32"/>
          <w:lang w:val="en-US"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40"/>
          <w:szCs w:val="40"/>
          <w:lang w:val="en-US" w:eastAsia="zh-CN"/>
        </w:rPr>
        <w:t xml:space="preserve"> </w:t>
      </w:r>
      <w:r>
        <w:rPr>
          <w:rFonts w:hint="eastAsia" w:ascii="仿宋" w:hAnsi="仿宋" w:eastAsia="仿宋"/>
          <w:b/>
          <w:bCs/>
          <w:sz w:val="40"/>
          <w:szCs w:val="40"/>
          <w:lang w:eastAsia="zh-CN"/>
        </w:rPr>
        <w:t>报价清单</w:t>
      </w:r>
    </w:p>
    <w:p w14:paraId="00F42517">
      <w:pPr>
        <w:pStyle w:val="5"/>
        <w:shd w:val="clear" w:color="auto" w:fill="FFFFFF"/>
        <w:spacing w:before="0" w:beforeAutospacing="0" w:after="0" w:afterAutospacing="0" w:line="520" w:lineRule="exact"/>
        <w:rPr>
          <w:rFonts w:hint="eastAsia" w:ascii="仿宋" w:hAnsi="仿宋" w:eastAsia="仿宋"/>
          <w:sz w:val="24"/>
          <w:szCs w:val="24"/>
        </w:rPr>
      </w:pPr>
    </w:p>
    <w:p w14:paraId="7D22AE06">
      <w:pPr>
        <w:adjustRightInd w:val="0"/>
        <w:spacing w:line="480" w:lineRule="exact"/>
        <w:ind w:firstLine="640" w:firstLineChars="200"/>
        <w:jc w:val="left"/>
        <w:rPr>
          <w:rFonts w:hint="eastAsia" w:ascii="仿宋" w:hAnsi="仿宋" w:eastAsia="仿宋"/>
          <w:sz w:val="32"/>
          <w:szCs w:val="32"/>
        </w:rPr>
      </w:pPr>
    </w:p>
    <w:p w14:paraId="0B6D7F75">
      <w:pPr>
        <w:adjustRightInd w:val="0"/>
        <w:spacing w:line="480" w:lineRule="exact"/>
        <w:ind w:firstLine="640" w:firstLineChars="200"/>
        <w:jc w:val="left"/>
        <w:rPr>
          <w:rFonts w:hint="eastAsia" w:ascii="仿宋" w:hAnsi="仿宋" w:eastAsia="仿宋"/>
          <w:sz w:val="32"/>
          <w:szCs w:val="32"/>
        </w:rPr>
      </w:pP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5"/>
        <w:gridCol w:w="1353"/>
        <w:gridCol w:w="3816"/>
        <w:gridCol w:w="595"/>
        <w:gridCol w:w="595"/>
        <w:gridCol w:w="784"/>
        <w:gridCol w:w="784"/>
      </w:tblGrid>
      <w:tr w14:paraId="62AE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40" w:hRule="atLeast"/>
        </w:trPr>
        <w:tc>
          <w:tcPr>
            <w:tcW w:w="367" w:type="pct"/>
            <w:tcBorders>
              <w:top w:val="single" w:color="000000" w:sz="4" w:space="0"/>
              <w:left w:val="single" w:color="000000" w:sz="4" w:space="0"/>
              <w:bottom w:val="single" w:color="000000" w:sz="4" w:space="0"/>
              <w:right w:val="single" w:color="000000" w:sz="4" w:space="0"/>
            </w:tcBorders>
            <w:shd w:val="clear"/>
            <w:noWrap/>
            <w:vAlign w:val="center"/>
          </w:tcPr>
          <w:p w14:paraId="6DD93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795" w:type="pct"/>
            <w:tcBorders>
              <w:top w:val="single" w:color="000000" w:sz="4" w:space="0"/>
              <w:left w:val="single" w:color="000000" w:sz="4" w:space="0"/>
              <w:bottom w:val="single" w:color="000000" w:sz="4" w:space="0"/>
              <w:right w:val="single" w:color="000000" w:sz="4" w:space="0"/>
            </w:tcBorders>
            <w:shd w:val="clear"/>
            <w:noWrap/>
            <w:vAlign w:val="center"/>
          </w:tcPr>
          <w:p w14:paraId="6E515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项目名称</w:t>
            </w:r>
          </w:p>
        </w:tc>
        <w:tc>
          <w:tcPr>
            <w:tcW w:w="2313" w:type="pct"/>
            <w:tcBorders>
              <w:top w:val="single" w:color="000000" w:sz="4" w:space="0"/>
              <w:left w:val="single" w:color="000000" w:sz="4" w:space="0"/>
              <w:bottom w:val="single" w:color="000000" w:sz="4" w:space="0"/>
              <w:right w:val="single" w:color="000000" w:sz="4" w:space="0"/>
            </w:tcBorders>
            <w:shd w:val="clear"/>
            <w:noWrap/>
            <w:vAlign w:val="center"/>
          </w:tcPr>
          <w:p w14:paraId="68E4A2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项目特征描述</w:t>
            </w:r>
          </w:p>
        </w:tc>
        <w:tc>
          <w:tcPr>
            <w:tcW w:w="331" w:type="pct"/>
            <w:tcBorders>
              <w:top w:val="single" w:color="000000" w:sz="4" w:space="0"/>
              <w:left w:val="single" w:color="000000" w:sz="4" w:space="0"/>
              <w:bottom w:val="single" w:color="000000" w:sz="4" w:space="0"/>
              <w:right w:val="single" w:color="000000" w:sz="4" w:space="0"/>
            </w:tcBorders>
            <w:shd w:val="clear"/>
            <w:noWrap/>
            <w:vAlign w:val="center"/>
          </w:tcPr>
          <w:p w14:paraId="65A86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276" w:type="pct"/>
            <w:tcBorders>
              <w:top w:val="single" w:color="000000" w:sz="4" w:space="0"/>
              <w:left w:val="single" w:color="000000" w:sz="4" w:space="0"/>
              <w:bottom w:val="single" w:color="000000" w:sz="4" w:space="0"/>
              <w:right w:val="single" w:color="000000" w:sz="4" w:space="0"/>
            </w:tcBorders>
            <w:shd w:val="clear"/>
            <w:noWrap/>
            <w:vAlign w:val="center"/>
          </w:tcPr>
          <w:p w14:paraId="144DD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463" w:type="pct"/>
            <w:tcBorders>
              <w:top w:val="single" w:color="000000" w:sz="4" w:space="0"/>
              <w:left w:val="single" w:color="000000" w:sz="4" w:space="0"/>
              <w:bottom w:val="single" w:color="000000" w:sz="4" w:space="0"/>
              <w:right w:val="single" w:color="000000" w:sz="4" w:space="0"/>
            </w:tcBorders>
            <w:shd w:val="clear"/>
            <w:vAlign w:val="center"/>
          </w:tcPr>
          <w:p w14:paraId="6A0D2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单价（元）</w:t>
            </w:r>
          </w:p>
        </w:tc>
        <w:tc>
          <w:tcPr>
            <w:tcW w:w="452" w:type="pct"/>
            <w:tcBorders>
              <w:top w:val="single" w:color="000000" w:sz="4" w:space="0"/>
              <w:left w:val="single" w:color="000000" w:sz="4" w:space="0"/>
              <w:bottom w:val="single" w:color="000000" w:sz="4" w:space="0"/>
              <w:right w:val="single" w:color="000000" w:sz="4" w:space="0"/>
            </w:tcBorders>
            <w:shd w:val="clear"/>
            <w:vAlign w:val="center"/>
          </w:tcPr>
          <w:p w14:paraId="0DFAE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小计（元）</w:t>
            </w:r>
          </w:p>
        </w:tc>
      </w:tr>
      <w:tr w14:paraId="4451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7" w:type="pct"/>
            <w:tcBorders>
              <w:top w:val="single" w:color="000000" w:sz="4" w:space="0"/>
              <w:left w:val="single" w:color="000000" w:sz="4" w:space="0"/>
              <w:bottom w:val="nil"/>
              <w:right w:val="single" w:color="000000" w:sz="4" w:space="0"/>
            </w:tcBorders>
            <w:shd w:val="clear"/>
            <w:noWrap/>
            <w:vAlign w:val="center"/>
          </w:tcPr>
          <w:p w14:paraId="7472B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795" w:type="pct"/>
            <w:tcBorders>
              <w:top w:val="single" w:color="000000" w:sz="4" w:space="0"/>
              <w:left w:val="single" w:color="000000" w:sz="4" w:space="0"/>
              <w:bottom w:val="single" w:color="000000" w:sz="4" w:space="0"/>
              <w:right w:val="single" w:color="000000" w:sz="4" w:space="0"/>
            </w:tcBorders>
            <w:shd w:val="clear"/>
            <w:vAlign w:val="center"/>
          </w:tcPr>
          <w:p w14:paraId="478D1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墙、顶面发霉处理</w:t>
            </w:r>
          </w:p>
        </w:tc>
        <w:tc>
          <w:tcPr>
            <w:tcW w:w="2313" w:type="pct"/>
            <w:tcBorders>
              <w:top w:val="single" w:color="000000" w:sz="4" w:space="0"/>
              <w:left w:val="single" w:color="000000" w:sz="4" w:space="0"/>
              <w:bottom w:val="single" w:color="000000" w:sz="4" w:space="0"/>
              <w:right w:val="single" w:color="000000" w:sz="4" w:space="0"/>
            </w:tcBorders>
            <w:shd w:val="clear"/>
            <w:noWrap/>
            <w:vAlign w:val="center"/>
          </w:tcPr>
          <w:p w14:paraId="2CFA53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1、脱落层铲除，界面剂滚涂,德高防水两遍</w:t>
            </w:r>
          </w:p>
        </w:tc>
        <w:tc>
          <w:tcPr>
            <w:tcW w:w="331" w:type="pct"/>
            <w:tcBorders>
              <w:top w:val="single" w:color="000000" w:sz="4" w:space="0"/>
              <w:left w:val="single" w:color="000000" w:sz="4" w:space="0"/>
              <w:bottom w:val="single" w:color="000000" w:sz="4" w:space="0"/>
              <w:right w:val="single" w:color="000000" w:sz="4" w:space="0"/>
            </w:tcBorders>
            <w:shd w:val="clear"/>
            <w:noWrap/>
            <w:vAlign w:val="center"/>
          </w:tcPr>
          <w:p w14:paraId="738CABC5">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bdr w:val="none" w:color="auto" w:sz="0" w:space="0"/>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shd w:val="clear"/>
            <w:noWrap/>
            <w:vAlign w:val="center"/>
          </w:tcPr>
          <w:p w14:paraId="2ADBBC1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350</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3F254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4FE9C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109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67" w:type="pct"/>
            <w:tcBorders>
              <w:top w:val="single" w:color="000000" w:sz="4" w:space="0"/>
              <w:left w:val="single" w:color="000000" w:sz="4" w:space="0"/>
              <w:bottom w:val="nil"/>
              <w:right w:val="single" w:color="000000" w:sz="4" w:space="0"/>
            </w:tcBorders>
            <w:shd w:val="clear"/>
            <w:noWrap/>
            <w:vAlign w:val="center"/>
          </w:tcPr>
          <w:p w14:paraId="3DFAB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795" w:type="pct"/>
            <w:tcBorders>
              <w:top w:val="single" w:color="000000" w:sz="4" w:space="0"/>
              <w:left w:val="single" w:color="000000" w:sz="4" w:space="0"/>
              <w:bottom w:val="single" w:color="000000" w:sz="4" w:space="0"/>
              <w:right w:val="single" w:color="000000" w:sz="4" w:space="0"/>
            </w:tcBorders>
            <w:shd w:val="clear"/>
            <w:vAlign w:val="center"/>
          </w:tcPr>
          <w:p w14:paraId="03195ABD">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墙、顶油漆</w:t>
            </w:r>
          </w:p>
        </w:tc>
        <w:tc>
          <w:tcPr>
            <w:tcW w:w="2313" w:type="pct"/>
            <w:tcBorders>
              <w:top w:val="single" w:color="000000" w:sz="4" w:space="0"/>
              <w:left w:val="single" w:color="000000" w:sz="4" w:space="0"/>
              <w:bottom w:val="single" w:color="000000" w:sz="4" w:space="0"/>
              <w:right w:val="single" w:color="000000" w:sz="4" w:space="0"/>
            </w:tcBorders>
            <w:shd w:val="clear"/>
            <w:vAlign w:val="center"/>
          </w:tcPr>
          <w:p w14:paraId="300A7E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1、满刮耐水性腻子两遍，干透后砂纸打磨平整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2、立邦净味乳胶漆两遍</w:t>
            </w:r>
          </w:p>
        </w:tc>
        <w:tc>
          <w:tcPr>
            <w:tcW w:w="331" w:type="pct"/>
            <w:tcBorders>
              <w:top w:val="single" w:color="000000" w:sz="4" w:space="0"/>
              <w:left w:val="single" w:color="000000" w:sz="4" w:space="0"/>
              <w:bottom w:val="single" w:color="000000" w:sz="4" w:space="0"/>
              <w:right w:val="single" w:color="000000" w:sz="4" w:space="0"/>
            </w:tcBorders>
            <w:shd w:val="clear"/>
            <w:vAlign w:val="center"/>
          </w:tcPr>
          <w:p w14:paraId="6045A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276" w:type="pct"/>
            <w:tcBorders>
              <w:top w:val="single" w:color="000000" w:sz="4" w:space="0"/>
              <w:left w:val="single" w:color="000000" w:sz="4" w:space="0"/>
              <w:bottom w:val="single" w:color="000000" w:sz="4" w:space="0"/>
              <w:right w:val="single" w:color="000000" w:sz="4" w:space="0"/>
            </w:tcBorders>
            <w:shd w:val="clear"/>
            <w:noWrap/>
            <w:vAlign w:val="center"/>
          </w:tcPr>
          <w:p w14:paraId="7FF3A46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bdr w:val="none" w:color="auto" w:sz="0" w:space="0"/>
                <w:lang w:val="en-US" w:eastAsia="zh-CN" w:bidi="ar"/>
              </w:rPr>
              <w:t>350</w:t>
            </w:r>
            <w:bookmarkStart w:id="0" w:name="_GoBack"/>
            <w:bookmarkEnd w:id="0"/>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6C5FB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251D1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AF17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67" w:type="pct"/>
            <w:tcBorders>
              <w:top w:val="single" w:color="000000" w:sz="4" w:space="0"/>
              <w:left w:val="single" w:color="000000" w:sz="4" w:space="0"/>
              <w:bottom w:val="nil"/>
              <w:right w:val="single" w:color="000000" w:sz="4" w:space="0"/>
            </w:tcBorders>
            <w:shd w:val="clear"/>
            <w:noWrap/>
            <w:vAlign w:val="center"/>
          </w:tcPr>
          <w:p w14:paraId="77B06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795" w:type="pct"/>
            <w:tcBorders>
              <w:top w:val="single" w:color="000000" w:sz="4" w:space="0"/>
              <w:left w:val="single" w:color="000000" w:sz="4" w:space="0"/>
              <w:bottom w:val="single" w:color="000000" w:sz="4" w:space="0"/>
              <w:right w:val="single" w:color="000000" w:sz="4" w:space="0"/>
            </w:tcBorders>
            <w:shd w:val="clear"/>
            <w:vAlign w:val="center"/>
          </w:tcPr>
          <w:p w14:paraId="3967506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临时防护</w:t>
            </w:r>
          </w:p>
        </w:tc>
        <w:tc>
          <w:tcPr>
            <w:tcW w:w="2313" w:type="pct"/>
            <w:tcBorders>
              <w:top w:val="single" w:color="000000" w:sz="4" w:space="0"/>
              <w:left w:val="single" w:color="000000" w:sz="4" w:space="0"/>
              <w:bottom w:val="single" w:color="000000" w:sz="4" w:space="0"/>
              <w:right w:val="single" w:color="000000" w:sz="4" w:space="0"/>
            </w:tcBorders>
            <w:shd w:val="clear"/>
            <w:vAlign w:val="center"/>
          </w:tcPr>
          <w:p w14:paraId="1E8BDC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1、桌椅等薄膜覆盖</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2、防尘保护处理</w:t>
            </w:r>
          </w:p>
        </w:tc>
        <w:tc>
          <w:tcPr>
            <w:tcW w:w="331" w:type="pct"/>
            <w:tcBorders>
              <w:top w:val="single" w:color="000000" w:sz="4" w:space="0"/>
              <w:left w:val="single" w:color="000000" w:sz="4" w:space="0"/>
              <w:bottom w:val="single" w:color="000000" w:sz="4" w:space="0"/>
              <w:right w:val="single" w:color="000000" w:sz="4" w:space="0"/>
            </w:tcBorders>
            <w:shd w:val="clear"/>
            <w:vAlign w:val="center"/>
          </w:tcPr>
          <w:p w14:paraId="123A7E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项</w:t>
            </w:r>
          </w:p>
        </w:tc>
        <w:tc>
          <w:tcPr>
            <w:tcW w:w="276" w:type="pct"/>
            <w:tcBorders>
              <w:top w:val="single" w:color="000000" w:sz="4" w:space="0"/>
              <w:left w:val="single" w:color="000000" w:sz="4" w:space="0"/>
              <w:bottom w:val="single" w:color="000000" w:sz="4" w:space="0"/>
              <w:right w:val="single" w:color="000000" w:sz="4" w:space="0"/>
            </w:tcBorders>
            <w:shd w:val="clear"/>
            <w:noWrap/>
            <w:vAlign w:val="center"/>
          </w:tcPr>
          <w:p w14:paraId="29583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5BC26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4871A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AEA0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67" w:type="pct"/>
            <w:tcBorders>
              <w:top w:val="single" w:color="000000" w:sz="4" w:space="0"/>
              <w:left w:val="single" w:color="000000" w:sz="4" w:space="0"/>
              <w:bottom w:val="nil"/>
              <w:right w:val="single" w:color="000000" w:sz="4" w:space="0"/>
            </w:tcBorders>
            <w:shd w:val="clear"/>
            <w:noWrap/>
            <w:vAlign w:val="center"/>
          </w:tcPr>
          <w:p w14:paraId="1060E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795" w:type="pct"/>
            <w:tcBorders>
              <w:top w:val="single" w:color="000000" w:sz="4" w:space="0"/>
              <w:left w:val="single" w:color="000000" w:sz="4" w:space="0"/>
              <w:bottom w:val="single" w:color="000000" w:sz="4" w:space="0"/>
              <w:right w:val="single" w:color="000000" w:sz="4" w:space="0"/>
            </w:tcBorders>
            <w:shd w:val="clear"/>
            <w:noWrap/>
            <w:vAlign w:val="center"/>
          </w:tcPr>
          <w:p w14:paraId="470F9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现场垃圾清理</w:t>
            </w:r>
          </w:p>
        </w:tc>
        <w:tc>
          <w:tcPr>
            <w:tcW w:w="2313" w:type="pct"/>
            <w:tcBorders>
              <w:top w:val="single" w:color="000000" w:sz="4" w:space="0"/>
              <w:left w:val="single" w:color="000000" w:sz="4" w:space="0"/>
              <w:bottom w:val="single" w:color="000000" w:sz="4" w:space="0"/>
              <w:right w:val="single" w:color="000000" w:sz="4" w:space="0"/>
            </w:tcBorders>
            <w:shd w:val="clear"/>
            <w:vAlign w:val="top"/>
          </w:tcPr>
          <w:p w14:paraId="6832C82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1、现场清理</w:t>
            </w:r>
          </w:p>
        </w:tc>
        <w:tc>
          <w:tcPr>
            <w:tcW w:w="331" w:type="pct"/>
            <w:tcBorders>
              <w:top w:val="single" w:color="000000" w:sz="4" w:space="0"/>
              <w:left w:val="single" w:color="000000" w:sz="4" w:space="0"/>
              <w:bottom w:val="single" w:color="000000" w:sz="4" w:space="0"/>
              <w:right w:val="single" w:color="000000" w:sz="4" w:space="0"/>
            </w:tcBorders>
            <w:shd w:val="clear"/>
            <w:noWrap/>
            <w:vAlign w:val="center"/>
          </w:tcPr>
          <w:p w14:paraId="190AB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276" w:type="pct"/>
            <w:tcBorders>
              <w:top w:val="single" w:color="000000" w:sz="4" w:space="0"/>
              <w:left w:val="single" w:color="000000" w:sz="4" w:space="0"/>
              <w:bottom w:val="single" w:color="000000" w:sz="4" w:space="0"/>
              <w:right w:val="single" w:color="000000" w:sz="4" w:space="0"/>
            </w:tcBorders>
            <w:shd w:val="clear"/>
            <w:noWrap/>
            <w:vAlign w:val="center"/>
          </w:tcPr>
          <w:p w14:paraId="14A08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63" w:type="pct"/>
            <w:tcBorders>
              <w:top w:val="single" w:color="000000" w:sz="4" w:space="0"/>
              <w:left w:val="single" w:color="000000" w:sz="4" w:space="0"/>
              <w:bottom w:val="single" w:color="000000" w:sz="4" w:space="0"/>
              <w:right w:val="single" w:color="000000" w:sz="4" w:space="0"/>
            </w:tcBorders>
            <w:shd w:val="clear"/>
            <w:noWrap/>
            <w:vAlign w:val="center"/>
          </w:tcPr>
          <w:p w14:paraId="6936F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0180E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86A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367" w:type="pct"/>
            <w:tcBorders>
              <w:top w:val="single" w:color="000000" w:sz="4" w:space="0"/>
              <w:left w:val="single" w:color="000000" w:sz="4" w:space="0"/>
              <w:bottom w:val="nil"/>
              <w:right w:val="single" w:color="000000" w:sz="4" w:space="0"/>
            </w:tcBorders>
            <w:shd w:val="clear"/>
            <w:noWrap/>
            <w:vAlign w:val="center"/>
          </w:tcPr>
          <w:p w14:paraId="595C8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795" w:type="pct"/>
            <w:tcBorders>
              <w:top w:val="single" w:color="000000" w:sz="4" w:space="0"/>
              <w:left w:val="single" w:color="000000" w:sz="4" w:space="0"/>
              <w:bottom w:val="single" w:color="000000" w:sz="4" w:space="0"/>
              <w:right w:val="single" w:color="000000" w:sz="4" w:space="0"/>
            </w:tcBorders>
            <w:shd w:val="clear"/>
            <w:vAlign w:val="center"/>
          </w:tcPr>
          <w:p w14:paraId="188D1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3384" w:type="pct"/>
            <w:gridSpan w:val="4"/>
            <w:tcBorders>
              <w:top w:val="single" w:color="000000" w:sz="4" w:space="0"/>
              <w:left w:val="single" w:color="000000" w:sz="4" w:space="0"/>
              <w:bottom w:val="single" w:color="000000" w:sz="4" w:space="0"/>
              <w:right w:val="single" w:color="000000" w:sz="4" w:space="0"/>
            </w:tcBorders>
            <w:shd w:val="clear"/>
            <w:noWrap/>
            <w:vAlign w:val="center"/>
          </w:tcPr>
          <w:p w14:paraId="4A16B327">
            <w:pPr>
              <w:jc w:val="center"/>
              <w:rPr>
                <w:rFonts w:hint="eastAsia" w:ascii="宋体" w:hAnsi="宋体" w:eastAsia="宋体" w:cs="宋体"/>
                <w:i w:val="0"/>
                <w:iCs w:val="0"/>
                <w:color w:val="000000"/>
                <w:sz w:val="24"/>
                <w:szCs w:val="24"/>
                <w:u w:val="none"/>
              </w:rPr>
            </w:pPr>
          </w:p>
        </w:tc>
        <w:tc>
          <w:tcPr>
            <w:tcW w:w="452" w:type="pct"/>
            <w:tcBorders>
              <w:top w:val="single" w:color="000000" w:sz="4" w:space="0"/>
              <w:left w:val="single" w:color="000000" w:sz="4" w:space="0"/>
              <w:bottom w:val="single" w:color="000000" w:sz="4" w:space="0"/>
              <w:right w:val="single" w:color="000000" w:sz="4" w:space="0"/>
            </w:tcBorders>
            <w:shd w:val="clear"/>
            <w:noWrap/>
            <w:vAlign w:val="center"/>
          </w:tcPr>
          <w:p w14:paraId="5393C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14:paraId="5B4715C0">
      <w:pPr>
        <w:adjustRightInd w:val="0"/>
        <w:spacing w:line="480" w:lineRule="exact"/>
        <w:ind w:firstLine="640" w:firstLineChars="200"/>
        <w:jc w:val="left"/>
        <w:rPr>
          <w:rFonts w:hint="eastAsia" w:ascii="仿宋" w:hAnsi="仿宋" w:eastAsia="仿宋"/>
          <w:sz w:val="32"/>
          <w:szCs w:val="32"/>
        </w:rPr>
      </w:pPr>
    </w:p>
    <w:p w14:paraId="74ECC623">
      <w:pPr>
        <w:adjustRightInd w:val="0"/>
        <w:spacing w:line="480" w:lineRule="exact"/>
        <w:ind w:firstLine="640" w:firstLineChars="200"/>
        <w:jc w:val="left"/>
        <w:rPr>
          <w:rFonts w:hint="eastAsia" w:ascii="仿宋" w:hAnsi="仿宋" w:eastAsia="仿宋"/>
          <w:sz w:val="32"/>
          <w:szCs w:val="32"/>
        </w:rPr>
      </w:pPr>
    </w:p>
    <w:p w14:paraId="5F34AF44">
      <w:pPr>
        <w:adjustRightInd w:val="0"/>
        <w:spacing w:line="480" w:lineRule="exact"/>
        <w:ind w:firstLine="640" w:firstLineChars="200"/>
        <w:jc w:val="left"/>
        <w:rPr>
          <w:rFonts w:hint="eastAsia" w:ascii="仿宋" w:hAnsi="仿宋" w:eastAsia="仿宋"/>
          <w:sz w:val="32"/>
          <w:szCs w:val="32"/>
        </w:rPr>
      </w:pPr>
    </w:p>
    <w:p w14:paraId="00859770">
      <w:pPr>
        <w:adjustRightInd w:val="0"/>
        <w:spacing w:line="480" w:lineRule="exact"/>
        <w:ind w:firstLine="640" w:firstLineChars="200"/>
        <w:jc w:val="left"/>
        <w:rPr>
          <w:rFonts w:hint="eastAsia" w:ascii="仿宋" w:hAnsi="仿宋" w:eastAsia="仿宋"/>
          <w:sz w:val="32"/>
          <w:szCs w:val="32"/>
        </w:rPr>
      </w:pPr>
    </w:p>
    <w:p w14:paraId="56F11652">
      <w:pPr>
        <w:adjustRightInd w:val="0"/>
        <w:spacing w:line="480" w:lineRule="exact"/>
        <w:ind w:firstLine="640" w:firstLineChars="200"/>
        <w:jc w:val="left"/>
        <w:rPr>
          <w:rFonts w:hint="eastAsia" w:ascii="仿宋" w:hAnsi="仿宋" w:eastAsia="仿宋"/>
          <w:sz w:val="32"/>
          <w:szCs w:val="32"/>
        </w:rPr>
      </w:pPr>
    </w:p>
    <w:p w14:paraId="532DD445">
      <w:pPr>
        <w:adjustRightInd w:val="0"/>
        <w:spacing w:line="480" w:lineRule="exact"/>
        <w:ind w:firstLine="640" w:firstLineChars="200"/>
        <w:jc w:val="left"/>
        <w:rPr>
          <w:rFonts w:hint="eastAsia" w:ascii="仿宋" w:hAnsi="仿宋" w:eastAsia="仿宋"/>
          <w:sz w:val="32"/>
          <w:szCs w:val="32"/>
        </w:rPr>
      </w:pPr>
    </w:p>
    <w:p w14:paraId="31442369">
      <w:pPr>
        <w:adjustRightInd w:val="0"/>
        <w:spacing w:line="480" w:lineRule="exact"/>
        <w:ind w:firstLine="640" w:firstLineChars="200"/>
        <w:jc w:val="left"/>
        <w:rPr>
          <w:rFonts w:hint="eastAsia" w:ascii="仿宋" w:hAnsi="仿宋" w:eastAsia="仿宋"/>
          <w:sz w:val="32"/>
          <w:szCs w:val="32"/>
        </w:rPr>
      </w:pPr>
    </w:p>
    <w:p w14:paraId="2E5425BB">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58E4A"/>
    <w:multiLevelType w:val="singleLevel"/>
    <w:tmpl w:val="D1058E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DFmNjFlZGIyZDA0ZmU3MzZlOGM5OGM3NWEzMTgifQ=="/>
  </w:docVars>
  <w:rsids>
    <w:rsidRoot w:val="0031711A"/>
    <w:rsid w:val="000515FA"/>
    <w:rsid w:val="000620EC"/>
    <w:rsid w:val="000758B0"/>
    <w:rsid w:val="00122C46"/>
    <w:rsid w:val="00187E40"/>
    <w:rsid w:val="00217086"/>
    <w:rsid w:val="002B7183"/>
    <w:rsid w:val="002C154F"/>
    <w:rsid w:val="0031711A"/>
    <w:rsid w:val="00365FE6"/>
    <w:rsid w:val="00395F45"/>
    <w:rsid w:val="003B6AAE"/>
    <w:rsid w:val="004D1CA9"/>
    <w:rsid w:val="004F0D7C"/>
    <w:rsid w:val="005662E9"/>
    <w:rsid w:val="00575542"/>
    <w:rsid w:val="0058599D"/>
    <w:rsid w:val="00586D4A"/>
    <w:rsid w:val="00592BC5"/>
    <w:rsid w:val="005C748B"/>
    <w:rsid w:val="006A6780"/>
    <w:rsid w:val="006B3E13"/>
    <w:rsid w:val="00726112"/>
    <w:rsid w:val="007604DF"/>
    <w:rsid w:val="00764063"/>
    <w:rsid w:val="007C48A3"/>
    <w:rsid w:val="00853282"/>
    <w:rsid w:val="00881874"/>
    <w:rsid w:val="008E46E0"/>
    <w:rsid w:val="009322F1"/>
    <w:rsid w:val="00994A71"/>
    <w:rsid w:val="009A2C33"/>
    <w:rsid w:val="009C4D5D"/>
    <w:rsid w:val="009D102C"/>
    <w:rsid w:val="00A03209"/>
    <w:rsid w:val="00A31BF8"/>
    <w:rsid w:val="00A517E8"/>
    <w:rsid w:val="00A627AE"/>
    <w:rsid w:val="00B424F1"/>
    <w:rsid w:val="00B66E34"/>
    <w:rsid w:val="00B94145"/>
    <w:rsid w:val="00BB6BF5"/>
    <w:rsid w:val="00BE1956"/>
    <w:rsid w:val="00BF39E4"/>
    <w:rsid w:val="00C230B2"/>
    <w:rsid w:val="00C82A33"/>
    <w:rsid w:val="00C92B37"/>
    <w:rsid w:val="00CE2025"/>
    <w:rsid w:val="00D67147"/>
    <w:rsid w:val="00D6775E"/>
    <w:rsid w:val="00DB1355"/>
    <w:rsid w:val="00DC5BC7"/>
    <w:rsid w:val="00DD7ECF"/>
    <w:rsid w:val="00E8391C"/>
    <w:rsid w:val="00E928C7"/>
    <w:rsid w:val="00F05153"/>
    <w:rsid w:val="00F55C88"/>
    <w:rsid w:val="00F91C75"/>
    <w:rsid w:val="00FB295B"/>
    <w:rsid w:val="00FE74EC"/>
    <w:rsid w:val="01002534"/>
    <w:rsid w:val="01B1298B"/>
    <w:rsid w:val="02944B48"/>
    <w:rsid w:val="037B15C3"/>
    <w:rsid w:val="03EB4716"/>
    <w:rsid w:val="06E32B73"/>
    <w:rsid w:val="0ABD5BA0"/>
    <w:rsid w:val="0CE64B34"/>
    <w:rsid w:val="0F413746"/>
    <w:rsid w:val="0FA80C02"/>
    <w:rsid w:val="11E91552"/>
    <w:rsid w:val="1407008B"/>
    <w:rsid w:val="154D164F"/>
    <w:rsid w:val="17965C4B"/>
    <w:rsid w:val="17B92F10"/>
    <w:rsid w:val="1A436089"/>
    <w:rsid w:val="1D7E47CC"/>
    <w:rsid w:val="1EE92A08"/>
    <w:rsid w:val="1F3644C3"/>
    <w:rsid w:val="21294361"/>
    <w:rsid w:val="21BD09EA"/>
    <w:rsid w:val="22CB5CC8"/>
    <w:rsid w:val="230C0FA6"/>
    <w:rsid w:val="24877D1C"/>
    <w:rsid w:val="261F562C"/>
    <w:rsid w:val="277A2EEC"/>
    <w:rsid w:val="283B4790"/>
    <w:rsid w:val="2927562A"/>
    <w:rsid w:val="2A284628"/>
    <w:rsid w:val="2A61691A"/>
    <w:rsid w:val="2B91332F"/>
    <w:rsid w:val="2DB97E61"/>
    <w:rsid w:val="2DD56FC0"/>
    <w:rsid w:val="2FC736C3"/>
    <w:rsid w:val="300F239C"/>
    <w:rsid w:val="302F00B3"/>
    <w:rsid w:val="3095297C"/>
    <w:rsid w:val="33D62F2A"/>
    <w:rsid w:val="33D91C17"/>
    <w:rsid w:val="383E1A38"/>
    <w:rsid w:val="38807B07"/>
    <w:rsid w:val="389F10A1"/>
    <w:rsid w:val="38F018EE"/>
    <w:rsid w:val="396D003B"/>
    <w:rsid w:val="3B4535CA"/>
    <w:rsid w:val="3BF00D43"/>
    <w:rsid w:val="3C28163E"/>
    <w:rsid w:val="40217FC5"/>
    <w:rsid w:val="42952547"/>
    <w:rsid w:val="44834CF6"/>
    <w:rsid w:val="47B944B8"/>
    <w:rsid w:val="47D37BB9"/>
    <w:rsid w:val="495C4EE9"/>
    <w:rsid w:val="4B105AC6"/>
    <w:rsid w:val="4B4F092F"/>
    <w:rsid w:val="4BFB3039"/>
    <w:rsid w:val="4DA64574"/>
    <w:rsid w:val="50914CAD"/>
    <w:rsid w:val="54574A59"/>
    <w:rsid w:val="559D5D6A"/>
    <w:rsid w:val="56866800"/>
    <w:rsid w:val="5A1E41A4"/>
    <w:rsid w:val="5C357799"/>
    <w:rsid w:val="5DFB43B4"/>
    <w:rsid w:val="5F2B74DB"/>
    <w:rsid w:val="5F4E5B29"/>
    <w:rsid w:val="623644AE"/>
    <w:rsid w:val="63A9658E"/>
    <w:rsid w:val="644B741C"/>
    <w:rsid w:val="64E87C67"/>
    <w:rsid w:val="651D1CF3"/>
    <w:rsid w:val="65385D05"/>
    <w:rsid w:val="663527BF"/>
    <w:rsid w:val="67D01153"/>
    <w:rsid w:val="69F03EBF"/>
    <w:rsid w:val="6BB152F3"/>
    <w:rsid w:val="6CE720D4"/>
    <w:rsid w:val="6D0D7C60"/>
    <w:rsid w:val="6D6C185A"/>
    <w:rsid w:val="6E557E91"/>
    <w:rsid w:val="6F532332"/>
    <w:rsid w:val="72694E43"/>
    <w:rsid w:val="739B64B9"/>
    <w:rsid w:val="73BD0A2D"/>
    <w:rsid w:val="742D5A28"/>
    <w:rsid w:val="77E8556F"/>
    <w:rsid w:val="7ADA300D"/>
    <w:rsid w:val="7C3D2E30"/>
    <w:rsid w:val="7E026C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6"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font21"/>
    <w:basedOn w:val="8"/>
    <w:qFormat/>
    <w:uiPriority w:val="0"/>
    <w:rPr>
      <w:rFonts w:hint="eastAsia" w:ascii="仿宋" w:hAnsi="仿宋" w:eastAsia="仿宋" w:cs="仿宋"/>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黑体" w:hAnsi="宋体" w:eastAsia="黑体" w:cs="黑体"/>
      <w:color w:val="000000"/>
      <w:sz w:val="40"/>
      <w:szCs w:val="40"/>
      <w:u w:val="none"/>
    </w:rPr>
  </w:style>
  <w:style w:type="character" w:customStyle="1" w:styleId="16">
    <w:name w:val="font81"/>
    <w:basedOn w:val="8"/>
    <w:qFormat/>
    <w:uiPriority w:val="0"/>
    <w:rPr>
      <w:rFonts w:hint="eastAsia" w:ascii="黑体" w:hAnsi="宋体" w:eastAsia="黑体" w:cs="黑体"/>
      <w:color w:val="000000"/>
      <w:sz w:val="22"/>
      <w:szCs w:val="22"/>
      <w:u w:val="none"/>
    </w:rPr>
  </w:style>
  <w:style w:type="character" w:customStyle="1" w:styleId="17">
    <w:name w:val="font41"/>
    <w:basedOn w:val="8"/>
    <w:qFormat/>
    <w:uiPriority w:val="0"/>
    <w:rPr>
      <w:rFonts w:hint="eastAsia" w:ascii="宋体" w:hAnsi="宋体" w:eastAsia="宋体" w:cs="宋体"/>
      <w:color w:val="000000"/>
      <w:sz w:val="20"/>
      <w:szCs w:val="20"/>
      <w:u w:val="none"/>
    </w:rPr>
  </w:style>
  <w:style w:type="character" w:customStyle="1" w:styleId="18">
    <w:name w:val="font61"/>
    <w:basedOn w:val="8"/>
    <w:qFormat/>
    <w:uiPriority w:val="0"/>
    <w:rPr>
      <w:rFonts w:hint="eastAsia" w:ascii="宋体" w:hAnsi="宋体" w:eastAsia="宋体" w:cs="宋体"/>
      <w:b/>
      <w:bCs/>
      <w:color w:val="000000"/>
      <w:sz w:val="20"/>
      <w:szCs w:val="20"/>
      <w:u w:val="none"/>
    </w:rPr>
  </w:style>
  <w:style w:type="character" w:customStyle="1" w:styleId="19">
    <w:name w:val="font7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1048</Words>
  <Characters>1062</Characters>
  <Lines>8</Lines>
  <Paragraphs>2</Paragraphs>
  <TotalTime>270</TotalTime>
  <ScaleCrop>false</ScaleCrop>
  <LinksUpToDate>false</LinksUpToDate>
  <CharactersWithSpaces>1079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2023-05-09T02:20:00Z</dcterms:created>
  <dc:creator>b a</dc:creator>
  <cp:lastModifiedBy>完定福</cp:lastModifiedBy>
  <cp:lastPrinted>2025-08-04T05:52:00Z</cp:lastPrinted>
  <dcterms:modified xsi:type="dcterms:W3CDTF">2025-08-18T01:36:37Z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D4AEF6D9CAC34B9CBE6498C6F9096C8F_13</vt:lpwstr>
  </property>
  <property fmtid="{D5CDD505-2E9C-101B-9397-08002B2CF9AE}" pid="4" name="KSOTemplateDocerSaveRecord">
    <vt:lpwstr>eyJoZGlkIjoiNzdlMDVkNDYwYmZkNTE5NGQ0ZTdiYzI2ZDFhMjhiMWQiLCJ1c2VySWQiOiI4MDQyODQ1MTkifQ==</vt:lpwstr>
  </property>
</Properties>
</file>