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A3" w:rsidRDefault="001976B7" w:rsidP="004048E3">
      <w:pPr>
        <w:spacing w:afterLines="50"/>
        <w:ind w:left="220" w:hangingChars="50" w:hanging="220"/>
        <w:jc w:val="center"/>
        <w:rPr>
          <w:rFonts w:ascii="黑体" w:eastAsia="方正小标宋简体" w:hAnsi="黑体"/>
          <w:sz w:val="28"/>
          <w:szCs w:val="28"/>
        </w:rPr>
      </w:pPr>
      <w:r>
        <w:rPr>
          <w:rFonts w:ascii="方正小标宋简体" w:eastAsia="方正小标宋简体" w:hAnsiTheme="minorEastAsia" w:hint="eastAsia"/>
          <w:sz w:val="44"/>
          <w:szCs w:val="44"/>
        </w:rPr>
        <w:t>江大附院遴选各类电动门及门禁系统维修服务商</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江苏大学附属医院总务处现发布各类电动玻璃门及门禁系统维修服务商遴选公告，欢迎合格的潜在投标人参加。</w:t>
      </w:r>
    </w:p>
    <w:p w:rsidR="00DD18A3" w:rsidRPr="004A6E64" w:rsidRDefault="001976B7" w:rsidP="004A6E64">
      <w:pPr>
        <w:widowControl/>
        <w:snapToGrid w:val="0"/>
        <w:spacing w:line="240" w:lineRule="auto"/>
        <w:ind w:firstLineChars="200" w:firstLine="643"/>
        <w:jc w:val="left"/>
        <w:rPr>
          <w:rFonts w:ascii="仿宋" w:eastAsia="仿宋" w:hAnsi="仿宋"/>
          <w:b/>
          <w:color w:val="000000" w:themeColor="text1"/>
          <w:sz w:val="32"/>
          <w:szCs w:val="32"/>
        </w:rPr>
      </w:pPr>
      <w:r w:rsidRPr="004A6E64">
        <w:rPr>
          <w:rFonts w:ascii="仿宋" w:eastAsia="仿宋" w:hAnsi="仿宋" w:hint="eastAsia"/>
          <w:b/>
          <w:color w:val="000000" w:themeColor="text1"/>
          <w:sz w:val="32"/>
          <w:szCs w:val="32"/>
        </w:rPr>
        <w:t>一、项目概况及要求</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（一）项目名称：江大附院各类电动玻璃门和门禁系统的维修。</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（二）服务内容：主要针对院区内各类电动玻璃门和门禁系统（母婴楼门禁系统除外）的维修。</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（三）服务要求（需提供承诺书并加盖公章）：</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1.接到报修电话1小时内必须到达现场；</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2.维修完成后，由总务处验收签字确认；表2</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3.维修质保期2年（以总务处验收签字确认开始计算质保时间，人为原因除外）；</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（四）技术要求：</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1.电动玻璃门运行要平稳，无卡顿、无异响；</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2.门禁读卡器工作要灵敏可靠，磁力锁工作要稳定可靠，安装牢固，无松动现象；</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3.所有更换配件要有产品合格证。</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（五）项目报价：</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1.按表1内容报价；</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2.按照维修人工费+维修材料费</w:t>
      </w:r>
      <w:r w:rsidR="008769BF">
        <w:rPr>
          <w:rFonts w:ascii="仿宋" w:eastAsia="仿宋" w:hAnsi="仿宋" w:hint="eastAsia"/>
          <w:color w:val="000000" w:themeColor="text1"/>
          <w:sz w:val="32"/>
          <w:szCs w:val="32"/>
        </w:rPr>
        <w:t>（报价×占比）</w:t>
      </w:r>
      <w:r>
        <w:rPr>
          <w:rFonts w:ascii="仿宋" w:eastAsia="仿宋" w:hAnsi="仿宋" w:hint="eastAsia"/>
          <w:color w:val="000000" w:themeColor="text1"/>
          <w:sz w:val="32"/>
          <w:szCs w:val="32"/>
        </w:rPr>
        <w:t>总价高低排序，价格最低的投标单位为中标单位，价格次低的投标单位为中标入围单位。</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3.中标单位维修材料费必须按照所有投标单位每项的最低价执行。</w:t>
      </w:r>
    </w:p>
    <w:p w:rsidR="00DD18A3" w:rsidRPr="004A6E64" w:rsidRDefault="001976B7" w:rsidP="004A6E64">
      <w:pPr>
        <w:widowControl/>
        <w:snapToGrid w:val="0"/>
        <w:spacing w:line="240" w:lineRule="auto"/>
        <w:ind w:firstLineChars="200" w:firstLine="643"/>
        <w:jc w:val="left"/>
        <w:rPr>
          <w:rFonts w:ascii="仿宋" w:eastAsia="仿宋" w:hAnsi="仿宋"/>
          <w:b/>
          <w:color w:val="000000" w:themeColor="text1"/>
          <w:sz w:val="32"/>
          <w:szCs w:val="32"/>
        </w:rPr>
      </w:pPr>
      <w:r w:rsidRPr="004A6E64">
        <w:rPr>
          <w:rFonts w:ascii="仿宋" w:eastAsia="仿宋" w:hAnsi="仿宋" w:hint="eastAsia"/>
          <w:b/>
          <w:color w:val="000000" w:themeColor="text1"/>
          <w:sz w:val="32"/>
          <w:szCs w:val="32"/>
        </w:rPr>
        <w:t>二、投标人应具备的必要资格条件</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1.参加询价单位必须提供营业执照（具有建筑类或装饰类等相关项目），具有履行合同所必需的工具和能力。</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2.本项目不接受联合体投标，不得转包、分包。</w:t>
      </w:r>
    </w:p>
    <w:p w:rsidR="00DD18A3" w:rsidRPr="004A6E64" w:rsidRDefault="004A6E64" w:rsidP="004A6E64">
      <w:pPr>
        <w:widowControl/>
        <w:snapToGrid w:val="0"/>
        <w:spacing w:line="240" w:lineRule="auto"/>
        <w:ind w:firstLineChars="200" w:firstLine="643"/>
        <w:jc w:val="left"/>
        <w:rPr>
          <w:rFonts w:ascii="仿宋" w:eastAsia="仿宋" w:hAnsi="仿宋"/>
          <w:b/>
          <w:color w:val="000000" w:themeColor="text1"/>
          <w:sz w:val="32"/>
          <w:szCs w:val="32"/>
        </w:rPr>
      </w:pPr>
      <w:r w:rsidRPr="004A6E64">
        <w:rPr>
          <w:rFonts w:ascii="仿宋" w:eastAsia="仿宋" w:hAnsi="仿宋" w:hint="eastAsia"/>
          <w:b/>
          <w:color w:val="000000" w:themeColor="text1"/>
          <w:sz w:val="32"/>
          <w:szCs w:val="32"/>
        </w:rPr>
        <w:t>三、</w:t>
      </w:r>
      <w:r w:rsidR="001976B7" w:rsidRPr="004A6E64">
        <w:rPr>
          <w:rFonts w:ascii="仿宋" w:eastAsia="仿宋" w:hAnsi="仿宋" w:hint="eastAsia"/>
          <w:b/>
          <w:color w:val="000000" w:themeColor="text1"/>
          <w:sz w:val="32"/>
          <w:szCs w:val="32"/>
        </w:rPr>
        <w:t>资格审查方式及特殊情况说明:</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本次采用资格后审方式。</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1.满足询价文件实质性要求的单位数量达3家及以上的，公开询价采购，由最低报价的投标单位中标。若最低报价的投标单位有两家及以上，</w:t>
      </w:r>
      <w:r>
        <w:rPr>
          <w:rFonts w:ascii="仿宋" w:eastAsia="仿宋" w:hAnsi="仿宋" w:hint="eastAsia"/>
          <w:sz w:val="30"/>
          <w:szCs w:val="30"/>
        </w:rPr>
        <w:t>则现场采用二次报价方式，确定中标单位；</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 满足询价文件实质性要求的单位数量仅有2家的，则现场转变采购方式，采用竞争性谈判的采购方式，确定中标单位;</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3.满足询价文件实质性要求的单位数量仅有1家的，则现场转变采购方式，采用单一来源谈判的采购方式，确定中标单位。</w:t>
      </w:r>
    </w:p>
    <w:p w:rsidR="00DD18A3" w:rsidRPr="004A6E64" w:rsidRDefault="004A6E64" w:rsidP="004A6E64">
      <w:pPr>
        <w:widowControl/>
        <w:snapToGrid w:val="0"/>
        <w:spacing w:line="240" w:lineRule="auto"/>
        <w:ind w:firstLineChars="200" w:firstLine="643"/>
        <w:jc w:val="left"/>
        <w:rPr>
          <w:rFonts w:ascii="仿宋" w:eastAsia="仿宋" w:hAnsi="仿宋"/>
          <w:b/>
          <w:color w:val="000000" w:themeColor="text1"/>
          <w:sz w:val="32"/>
          <w:szCs w:val="32"/>
        </w:rPr>
      </w:pPr>
      <w:r w:rsidRPr="004A6E64">
        <w:rPr>
          <w:rFonts w:ascii="仿宋" w:eastAsia="仿宋" w:hAnsi="仿宋" w:hint="eastAsia"/>
          <w:b/>
          <w:color w:val="000000" w:themeColor="text1"/>
          <w:sz w:val="32"/>
          <w:szCs w:val="32"/>
        </w:rPr>
        <w:t>四、遴选</w:t>
      </w:r>
      <w:r w:rsidR="001976B7" w:rsidRPr="004A6E64">
        <w:rPr>
          <w:rFonts w:ascii="仿宋" w:eastAsia="仿宋" w:hAnsi="仿宋" w:hint="eastAsia"/>
          <w:b/>
          <w:color w:val="000000" w:themeColor="text1"/>
          <w:sz w:val="32"/>
          <w:szCs w:val="32"/>
        </w:rPr>
        <w:t>地点及要求</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（一）地点：江苏大学附属医院总务处二楼会议室。</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（二）请各报价单位须提准备好营业执照、品牌授权（如需要）、产品资料、产品报价（一次性报价）、服务承诺书，</w:t>
      </w:r>
      <w:r w:rsidR="000C7790" w:rsidRPr="006E1FE8">
        <w:rPr>
          <w:rFonts w:ascii="仿宋" w:eastAsia="仿宋" w:hAnsi="仿宋" w:cs="宋体"/>
          <w:kern w:val="0"/>
          <w:sz w:val="32"/>
        </w:rPr>
        <w:t>如投标人</w:t>
      </w:r>
      <w:r w:rsidR="000C7790" w:rsidRPr="006E1FE8">
        <w:rPr>
          <w:rFonts w:ascii="仿宋" w:eastAsia="仿宋" w:hAnsi="仿宋" w:cs="宋体" w:hint="eastAsia"/>
          <w:kern w:val="0"/>
          <w:sz w:val="32"/>
        </w:rPr>
        <w:t>不是</w:t>
      </w:r>
      <w:r w:rsidR="000C7790" w:rsidRPr="006E1FE8">
        <w:rPr>
          <w:rFonts w:ascii="仿宋" w:eastAsia="仿宋" w:hAnsi="仿宋" w:cs="宋体"/>
          <w:kern w:val="0"/>
          <w:sz w:val="32"/>
        </w:rPr>
        <w:t>公司法人需提供授权委托书和投标代理人身份证复印件（授权委托书和身份证复印件均需加盖公章），</w:t>
      </w:r>
      <w:r>
        <w:rPr>
          <w:rFonts w:ascii="仿宋" w:eastAsia="仿宋" w:hAnsi="仿宋" w:hint="eastAsia"/>
          <w:color w:val="000000" w:themeColor="text1"/>
          <w:sz w:val="32"/>
          <w:szCs w:val="32"/>
        </w:rPr>
        <w:t>用文件袋密封包装送至指定地点。</w:t>
      </w:r>
    </w:p>
    <w:p w:rsidR="00DD18A3" w:rsidRPr="004A6E64" w:rsidRDefault="001976B7" w:rsidP="004A6E64">
      <w:pPr>
        <w:widowControl/>
        <w:snapToGrid w:val="0"/>
        <w:spacing w:line="240" w:lineRule="auto"/>
        <w:ind w:firstLineChars="200" w:firstLine="643"/>
        <w:jc w:val="left"/>
        <w:rPr>
          <w:rFonts w:ascii="仿宋" w:eastAsia="仿宋" w:hAnsi="仿宋"/>
          <w:b/>
          <w:color w:val="000000" w:themeColor="text1"/>
          <w:sz w:val="32"/>
          <w:szCs w:val="32"/>
        </w:rPr>
      </w:pPr>
      <w:r w:rsidRPr="004A6E64">
        <w:rPr>
          <w:rFonts w:ascii="仿宋" w:eastAsia="仿宋" w:hAnsi="仿宋" w:hint="eastAsia"/>
          <w:b/>
          <w:color w:val="000000" w:themeColor="text1"/>
          <w:sz w:val="32"/>
          <w:szCs w:val="32"/>
        </w:rPr>
        <w:t>五、付款方式：</w:t>
      </w:r>
    </w:p>
    <w:p w:rsidR="00DD18A3" w:rsidRDefault="001976B7" w:rsidP="004A6E64">
      <w:pPr>
        <w:widowControl/>
        <w:snapToGrid w:val="0"/>
        <w:spacing w:line="24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根据总务处签字确认的维修内容及数量计算金额（详见表2），总务处审核后三个月按实结算。</w:t>
      </w:r>
    </w:p>
    <w:p w:rsidR="00DD18A3" w:rsidRPr="004A6E64" w:rsidRDefault="001976B7" w:rsidP="004A6E64">
      <w:pPr>
        <w:widowControl/>
        <w:snapToGrid w:val="0"/>
        <w:spacing w:line="240" w:lineRule="auto"/>
        <w:ind w:firstLineChars="200" w:firstLine="643"/>
        <w:jc w:val="left"/>
        <w:rPr>
          <w:rFonts w:ascii="仿宋" w:eastAsia="仿宋" w:hAnsi="仿宋"/>
          <w:b/>
          <w:color w:val="000000" w:themeColor="text1"/>
          <w:sz w:val="32"/>
          <w:szCs w:val="32"/>
        </w:rPr>
      </w:pPr>
      <w:r w:rsidRPr="004A6E64">
        <w:rPr>
          <w:rFonts w:ascii="仿宋" w:eastAsia="仿宋" w:hAnsi="仿宋" w:hint="eastAsia"/>
          <w:b/>
          <w:color w:val="000000" w:themeColor="text1"/>
          <w:sz w:val="32"/>
          <w:szCs w:val="32"/>
        </w:rPr>
        <w:t>六、服务期：此次</w:t>
      </w:r>
      <w:r w:rsidR="000C7790" w:rsidRPr="004A6E64">
        <w:rPr>
          <w:rFonts w:ascii="仿宋" w:eastAsia="仿宋" w:hAnsi="仿宋" w:hint="eastAsia"/>
          <w:b/>
          <w:color w:val="000000" w:themeColor="text1"/>
          <w:sz w:val="32"/>
          <w:szCs w:val="32"/>
        </w:rPr>
        <w:t>遴选</w:t>
      </w:r>
      <w:r w:rsidRPr="004A6E64">
        <w:rPr>
          <w:rFonts w:ascii="仿宋" w:eastAsia="仿宋" w:hAnsi="仿宋" w:hint="eastAsia"/>
          <w:b/>
          <w:color w:val="000000" w:themeColor="text1"/>
          <w:sz w:val="32"/>
          <w:szCs w:val="32"/>
        </w:rPr>
        <w:t>有效期为1</w:t>
      </w:r>
      <w:r w:rsidR="000C7790" w:rsidRPr="004A6E64">
        <w:rPr>
          <w:rFonts w:ascii="仿宋" w:eastAsia="仿宋" w:hAnsi="仿宋" w:hint="eastAsia"/>
          <w:b/>
          <w:color w:val="000000" w:themeColor="text1"/>
          <w:sz w:val="32"/>
          <w:szCs w:val="32"/>
        </w:rPr>
        <w:t>年</w:t>
      </w:r>
      <w:r w:rsidR="000C7790" w:rsidRPr="004A6E64">
        <w:rPr>
          <w:rFonts w:ascii="仿宋" w:eastAsia="仿宋" w:hAnsi="仿宋"/>
          <w:b/>
          <w:color w:val="000000" w:themeColor="text1"/>
          <w:sz w:val="32"/>
          <w:szCs w:val="32"/>
        </w:rPr>
        <w:t>。</w:t>
      </w:r>
    </w:p>
    <w:p w:rsidR="00DD18A3" w:rsidRDefault="00DD18A3" w:rsidP="004A6E64">
      <w:pPr>
        <w:widowControl/>
        <w:snapToGrid w:val="0"/>
        <w:spacing w:line="240" w:lineRule="auto"/>
        <w:ind w:firstLineChars="200" w:firstLine="640"/>
        <w:jc w:val="left"/>
        <w:rPr>
          <w:rFonts w:ascii="仿宋" w:eastAsia="仿宋" w:hAnsi="仿宋"/>
          <w:color w:val="000000" w:themeColor="text1"/>
          <w:sz w:val="32"/>
          <w:szCs w:val="32"/>
        </w:rPr>
      </w:pPr>
    </w:p>
    <w:p w:rsidR="00DD18A3" w:rsidRDefault="00DD18A3" w:rsidP="004A6E64">
      <w:pPr>
        <w:widowControl/>
        <w:snapToGrid w:val="0"/>
        <w:spacing w:line="240" w:lineRule="auto"/>
        <w:ind w:firstLineChars="200" w:firstLine="640"/>
        <w:jc w:val="left"/>
        <w:rPr>
          <w:rFonts w:ascii="仿宋" w:eastAsia="仿宋" w:hAnsi="仿宋"/>
          <w:color w:val="000000" w:themeColor="text1"/>
          <w:sz w:val="32"/>
          <w:szCs w:val="32"/>
        </w:rPr>
      </w:pPr>
    </w:p>
    <w:p w:rsidR="00DD18A3" w:rsidRDefault="00DD18A3" w:rsidP="004A6E64">
      <w:pPr>
        <w:widowControl/>
        <w:snapToGrid w:val="0"/>
        <w:spacing w:line="240" w:lineRule="auto"/>
        <w:ind w:firstLineChars="200" w:firstLine="640"/>
        <w:jc w:val="left"/>
        <w:rPr>
          <w:rFonts w:ascii="仿宋" w:eastAsia="仿宋" w:hAnsi="仿宋"/>
          <w:color w:val="000000" w:themeColor="text1"/>
          <w:sz w:val="32"/>
          <w:szCs w:val="32"/>
        </w:rPr>
      </w:pPr>
    </w:p>
    <w:p w:rsidR="00DD18A3" w:rsidRDefault="00DD18A3" w:rsidP="004A6E64">
      <w:pPr>
        <w:widowControl/>
        <w:snapToGrid w:val="0"/>
        <w:spacing w:line="240" w:lineRule="auto"/>
        <w:ind w:firstLineChars="200" w:firstLine="640"/>
        <w:jc w:val="left"/>
        <w:rPr>
          <w:rFonts w:ascii="仿宋" w:eastAsia="仿宋" w:hAnsi="仿宋"/>
          <w:color w:val="000000" w:themeColor="text1"/>
          <w:sz w:val="32"/>
          <w:szCs w:val="32"/>
        </w:rPr>
      </w:pPr>
    </w:p>
    <w:p w:rsidR="00DD18A3" w:rsidRDefault="00DD18A3" w:rsidP="004A6E64">
      <w:pPr>
        <w:pStyle w:val="a6"/>
        <w:shd w:val="clear" w:color="auto" w:fill="FFFFFF"/>
        <w:snapToGrid w:val="0"/>
        <w:spacing w:before="0" w:beforeAutospacing="0" w:after="156" w:afterAutospacing="0"/>
        <w:ind w:firstLineChars="200" w:firstLine="640"/>
        <w:rPr>
          <w:rFonts w:ascii="仿宋_GB2312" w:eastAsia="仿宋_GB2312"/>
          <w:color w:val="000000"/>
          <w:sz w:val="32"/>
          <w:szCs w:val="32"/>
        </w:rPr>
      </w:pPr>
    </w:p>
    <w:p w:rsidR="00DD18A3" w:rsidRDefault="00DD18A3" w:rsidP="004A6E64">
      <w:pPr>
        <w:adjustRightInd w:val="0"/>
        <w:snapToGrid w:val="0"/>
        <w:ind w:left="161" w:firstLine="640"/>
        <w:jc w:val="center"/>
        <w:rPr>
          <w:rFonts w:asciiTheme="majorEastAsia" w:eastAsiaTheme="majorEastAsia" w:hAnsiTheme="majorEastAsia"/>
          <w:b/>
          <w:sz w:val="32"/>
          <w:szCs w:val="32"/>
        </w:rPr>
      </w:pPr>
    </w:p>
    <w:p w:rsidR="00DD18A3" w:rsidRDefault="00DD18A3" w:rsidP="004A6E64">
      <w:pPr>
        <w:adjustRightInd w:val="0"/>
        <w:snapToGrid w:val="0"/>
        <w:ind w:left="161" w:firstLine="640"/>
        <w:jc w:val="center"/>
        <w:rPr>
          <w:rFonts w:asciiTheme="majorEastAsia" w:eastAsiaTheme="majorEastAsia" w:hAnsiTheme="majorEastAsia"/>
          <w:b/>
          <w:sz w:val="32"/>
          <w:szCs w:val="32"/>
        </w:rPr>
      </w:pPr>
    </w:p>
    <w:p w:rsidR="00DD18A3" w:rsidRDefault="00DD18A3" w:rsidP="004A6E64">
      <w:pPr>
        <w:adjustRightInd w:val="0"/>
        <w:snapToGrid w:val="0"/>
        <w:ind w:left="161" w:firstLine="640"/>
        <w:jc w:val="center"/>
        <w:rPr>
          <w:rFonts w:asciiTheme="majorEastAsia" w:eastAsiaTheme="majorEastAsia" w:hAnsiTheme="majorEastAsia"/>
          <w:b/>
          <w:sz w:val="32"/>
          <w:szCs w:val="32"/>
        </w:rPr>
      </w:pPr>
    </w:p>
    <w:p w:rsidR="00DD18A3" w:rsidRDefault="00DD18A3" w:rsidP="004A6E64">
      <w:pPr>
        <w:adjustRightInd w:val="0"/>
        <w:snapToGrid w:val="0"/>
        <w:ind w:left="161" w:firstLine="640"/>
        <w:jc w:val="center"/>
        <w:rPr>
          <w:rFonts w:asciiTheme="majorEastAsia" w:eastAsiaTheme="majorEastAsia" w:hAnsiTheme="majorEastAsia"/>
          <w:b/>
          <w:sz w:val="32"/>
          <w:szCs w:val="32"/>
        </w:rPr>
      </w:pPr>
    </w:p>
    <w:p w:rsidR="00DD18A3" w:rsidRDefault="00DD18A3" w:rsidP="004A6E64">
      <w:pPr>
        <w:adjustRightInd w:val="0"/>
        <w:snapToGrid w:val="0"/>
        <w:ind w:left="161" w:firstLine="640"/>
        <w:rPr>
          <w:rFonts w:asciiTheme="majorEastAsia" w:eastAsiaTheme="majorEastAsia" w:hAnsiTheme="majorEastAsia"/>
          <w:b/>
          <w:sz w:val="32"/>
          <w:szCs w:val="32"/>
        </w:rPr>
      </w:pPr>
    </w:p>
    <w:p w:rsidR="00DD18A3" w:rsidRDefault="00DD18A3" w:rsidP="004A6E64">
      <w:pPr>
        <w:adjustRightInd w:val="0"/>
        <w:snapToGrid w:val="0"/>
        <w:rPr>
          <w:rFonts w:asciiTheme="majorEastAsia" w:eastAsiaTheme="majorEastAsia" w:hAnsiTheme="majorEastAsia"/>
          <w:b/>
          <w:sz w:val="32"/>
          <w:szCs w:val="32"/>
        </w:rPr>
      </w:pPr>
    </w:p>
    <w:p w:rsidR="00DD18A3" w:rsidRDefault="001976B7" w:rsidP="004A6E64">
      <w:pPr>
        <w:adjustRightInd w:val="0"/>
        <w:snapToGrid w:val="0"/>
        <w:ind w:left="161" w:firstLine="643"/>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表1.维修报价表（单位：元）</w:t>
      </w:r>
    </w:p>
    <w:p w:rsidR="00DD18A3" w:rsidRDefault="001976B7" w:rsidP="004A6E64">
      <w:pPr>
        <w:numPr>
          <w:ilvl w:val="0"/>
          <w:numId w:val="1"/>
        </w:numPr>
        <w:adjustRightInd w:val="0"/>
        <w:snapToGrid w:val="0"/>
        <w:ind w:left="161"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维修人工费：    元/人</w:t>
      </w:r>
    </w:p>
    <w:p w:rsidR="00DD18A3" w:rsidRDefault="001976B7" w:rsidP="004A6E64">
      <w:pPr>
        <w:numPr>
          <w:ilvl w:val="0"/>
          <w:numId w:val="1"/>
        </w:numPr>
        <w:adjustRightInd w:val="0"/>
        <w:snapToGrid w:val="0"/>
        <w:ind w:left="161"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维修材料费    </w:t>
      </w:r>
    </w:p>
    <w:tbl>
      <w:tblPr>
        <w:tblStyle w:val="a7"/>
        <w:tblW w:w="0" w:type="auto"/>
        <w:tblInd w:w="-459" w:type="dxa"/>
        <w:tblLook w:val="04A0"/>
      </w:tblPr>
      <w:tblGrid>
        <w:gridCol w:w="2747"/>
        <w:gridCol w:w="1648"/>
        <w:gridCol w:w="1134"/>
        <w:gridCol w:w="1701"/>
        <w:gridCol w:w="1757"/>
      </w:tblGrid>
      <w:tr w:rsidR="00337B6A" w:rsidTr="004A6E64">
        <w:tc>
          <w:tcPr>
            <w:tcW w:w="2747" w:type="dxa"/>
          </w:tcPr>
          <w:p w:rsidR="00337B6A" w:rsidRDefault="00337B6A" w:rsidP="004A6E64">
            <w:pPr>
              <w:adjustRightInd w:val="0"/>
              <w:snapToGrid w:val="0"/>
              <w:ind w:left="161" w:firstLine="643"/>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名称</w:t>
            </w:r>
          </w:p>
        </w:tc>
        <w:tc>
          <w:tcPr>
            <w:tcW w:w="1648" w:type="dxa"/>
          </w:tcPr>
          <w:p w:rsidR="00337B6A" w:rsidRDefault="00337B6A" w:rsidP="004A6E64">
            <w:pPr>
              <w:adjustRightInd w:val="0"/>
              <w:snapToGrid w:val="0"/>
              <w:rPr>
                <w:rFonts w:asciiTheme="majorEastAsia" w:eastAsiaTheme="majorEastAsia" w:hAnsiTheme="majorEastAsia"/>
                <w:b/>
                <w:sz w:val="32"/>
                <w:szCs w:val="32"/>
              </w:rPr>
            </w:pPr>
            <w:r>
              <w:rPr>
                <w:rFonts w:asciiTheme="majorEastAsia" w:eastAsiaTheme="majorEastAsia" w:hAnsiTheme="majorEastAsia" w:hint="eastAsia"/>
                <w:b/>
                <w:sz w:val="32"/>
                <w:szCs w:val="32"/>
              </w:rPr>
              <w:t>虚拟数量</w:t>
            </w:r>
          </w:p>
        </w:tc>
        <w:tc>
          <w:tcPr>
            <w:tcW w:w="1134"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占比</w:t>
            </w:r>
          </w:p>
        </w:tc>
        <w:tc>
          <w:tcPr>
            <w:tcW w:w="1701"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b/>
                <w:sz w:val="32"/>
                <w:szCs w:val="32"/>
              </w:rPr>
              <w:t>价格（元）</w:t>
            </w:r>
          </w:p>
        </w:tc>
        <w:tc>
          <w:tcPr>
            <w:tcW w:w="1757" w:type="dxa"/>
          </w:tcPr>
          <w:p w:rsidR="00337B6A" w:rsidRDefault="00337B6A" w:rsidP="004A6E64">
            <w:pPr>
              <w:adjustRightInd w:val="0"/>
              <w:snapToGrid w:val="0"/>
              <w:rPr>
                <w:rFonts w:asciiTheme="majorEastAsia" w:eastAsiaTheme="majorEastAsia" w:hAnsiTheme="majorEastAsia"/>
                <w:b/>
                <w:sz w:val="32"/>
                <w:szCs w:val="32"/>
              </w:rPr>
            </w:pPr>
            <w:r>
              <w:rPr>
                <w:rFonts w:asciiTheme="majorEastAsia" w:eastAsiaTheme="majorEastAsia" w:hAnsiTheme="majorEastAsia" w:hint="eastAsia"/>
                <w:b/>
                <w:sz w:val="32"/>
                <w:szCs w:val="32"/>
              </w:rPr>
              <w:t>价格*占比</w:t>
            </w:r>
          </w:p>
        </w:tc>
      </w:tr>
      <w:tr w:rsidR="00337B6A" w:rsidTr="004A6E64">
        <w:tc>
          <w:tcPr>
            <w:tcW w:w="2747" w:type="dxa"/>
          </w:tcPr>
          <w:p w:rsidR="00337B6A" w:rsidRDefault="00337B6A" w:rsidP="004A6E64">
            <w:pPr>
              <w:adjustRightInd w:val="0"/>
              <w:snapToGrid w:val="0"/>
              <w:ind w:left="140" w:firstLine="562"/>
              <w:rPr>
                <w:rFonts w:asciiTheme="majorEastAsia" w:eastAsiaTheme="majorEastAsia" w:hAnsiTheme="majorEastAsia"/>
                <w:bCs/>
                <w:sz w:val="28"/>
                <w:szCs w:val="28"/>
              </w:rPr>
            </w:pPr>
            <w:r>
              <w:rPr>
                <w:rFonts w:asciiTheme="majorEastAsia" w:eastAsiaTheme="majorEastAsia" w:hAnsiTheme="majorEastAsia" w:hint="eastAsia"/>
                <w:bCs/>
                <w:sz w:val="28"/>
                <w:szCs w:val="28"/>
              </w:rPr>
              <w:t>电动门电源</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firstLineChars="100" w:firstLine="280"/>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电动门控制器</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firstLineChars="150" w:firstLine="420"/>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电动门电机</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rPr>
                <w:rFonts w:asciiTheme="majorEastAsia" w:eastAsiaTheme="majorEastAsia" w:hAnsiTheme="majorEastAsia"/>
                <w:bCs/>
                <w:sz w:val="28"/>
                <w:szCs w:val="28"/>
              </w:rPr>
            </w:pPr>
            <w:r>
              <w:rPr>
                <w:rFonts w:asciiTheme="majorEastAsia" w:eastAsiaTheme="majorEastAsia" w:hAnsiTheme="majorEastAsia" w:hint="eastAsia"/>
                <w:bCs/>
                <w:sz w:val="28"/>
                <w:szCs w:val="28"/>
              </w:rPr>
              <w:t>电动门遥控接收模块</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rPr>
                <w:rFonts w:asciiTheme="majorEastAsia" w:eastAsiaTheme="majorEastAsia" w:hAnsiTheme="majorEastAsia"/>
                <w:bCs/>
                <w:sz w:val="28"/>
                <w:szCs w:val="28"/>
              </w:rPr>
            </w:pPr>
            <w:r>
              <w:rPr>
                <w:rFonts w:asciiTheme="majorEastAsia" w:eastAsiaTheme="majorEastAsia" w:hAnsiTheme="majorEastAsia" w:hint="eastAsia"/>
                <w:bCs/>
                <w:sz w:val="28"/>
                <w:szCs w:val="28"/>
              </w:rPr>
              <w:t>电动门红外线感应器</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电动门上轨道</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1（米）</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电动门上挂轮</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1（只）</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left="140" w:firstLine="562"/>
              <w:rPr>
                <w:rFonts w:asciiTheme="majorEastAsia" w:eastAsiaTheme="majorEastAsia" w:hAnsiTheme="majorEastAsia"/>
                <w:bCs/>
                <w:sz w:val="28"/>
                <w:szCs w:val="28"/>
              </w:rPr>
            </w:pPr>
            <w:r>
              <w:rPr>
                <w:rFonts w:asciiTheme="majorEastAsia" w:eastAsiaTheme="majorEastAsia" w:hAnsiTheme="majorEastAsia" w:hint="eastAsia"/>
                <w:bCs/>
                <w:sz w:val="28"/>
                <w:szCs w:val="28"/>
              </w:rPr>
              <w:t>门禁电源</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15%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left="140" w:firstLine="562"/>
              <w:rPr>
                <w:rFonts w:asciiTheme="majorEastAsia" w:eastAsiaTheme="majorEastAsia" w:hAnsiTheme="majorEastAsia"/>
                <w:bCs/>
                <w:sz w:val="28"/>
                <w:szCs w:val="28"/>
              </w:rPr>
            </w:pPr>
            <w:r>
              <w:rPr>
                <w:rFonts w:asciiTheme="majorEastAsia" w:eastAsiaTheme="majorEastAsia" w:hAnsiTheme="majorEastAsia" w:hint="eastAsia"/>
                <w:bCs/>
                <w:sz w:val="28"/>
                <w:szCs w:val="28"/>
              </w:rPr>
              <w:t>门禁读卡器</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30</w:t>
            </w:r>
            <w:bookmarkStart w:id="0" w:name="_GoBack"/>
            <w:bookmarkEnd w:id="0"/>
            <w:r>
              <w:rPr>
                <w:rFonts w:asciiTheme="majorEastAsia" w:eastAsiaTheme="majorEastAsia" w:hAnsiTheme="majorEastAsia" w:hint="eastAsia"/>
                <w:bCs/>
                <w:sz w:val="28"/>
                <w:szCs w:val="28"/>
              </w:rPr>
              <w:t>%</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left="140" w:firstLine="562"/>
              <w:rPr>
                <w:rFonts w:asciiTheme="majorEastAsia" w:eastAsiaTheme="majorEastAsia" w:hAnsiTheme="majorEastAsia"/>
                <w:bCs/>
                <w:sz w:val="28"/>
                <w:szCs w:val="28"/>
              </w:rPr>
            </w:pPr>
            <w:r>
              <w:rPr>
                <w:rFonts w:asciiTheme="majorEastAsia" w:eastAsiaTheme="majorEastAsia" w:hAnsiTheme="majorEastAsia" w:hint="eastAsia"/>
                <w:bCs/>
                <w:sz w:val="28"/>
                <w:szCs w:val="28"/>
              </w:rPr>
              <w:t>单门控制器</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2%</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left="140" w:firstLine="562"/>
              <w:rPr>
                <w:rFonts w:asciiTheme="majorEastAsia" w:eastAsiaTheme="majorEastAsia" w:hAnsiTheme="majorEastAsia"/>
                <w:bCs/>
                <w:sz w:val="28"/>
                <w:szCs w:val="28"/>
              </w:rPr>
            </w:pPr>
            <w:r>
              <w:rPr>
                <w:rFonts w:asciiTheme="majorEastAsia" w:eastAsiaTheme="majorEastAsia" w:hAnsiTheme="majorEastAsia" w:hint="eastAsia"/>
                <w:bCs/>
                <w:sz w:val="28"/>
                <w:szCs w:val="28"/>
              </w:rPr>
              <w:t>双门控制器</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3%</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left="140" w:firstLine="562"/>
              <w:rPr>
                <w:rFonts w:asciiTheme="majorEastAsia" w:eastAsiaTheme="majorEastAsia" w:hAnsiTheme="majorEastAsia"/>
                <w:bCs/>
                <w:sz w:val="28"/>
                <w:szCs w:val="28"/>
              </w:rPr>
            </w:pPr>
            <w:r>
              <w:rPr>
                <w:rFonts w:asciiTheme="majorEastAsia" w:eastAsiaTheme="majorEastAsia" w:hAnsiTheme="majorEastAsia" w:hint="eastAsia"/>
                <w:bCs/>
                <w:sz w:val="28"/>
                <w:szCs w:val="28"/>
              </w:rPr>
              <w:t>四门控制器</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5%</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2747" w:type="dxa"/>
          </w:tcPr>
          <w:p w:rsidR="00337B6A" w:rsidRDefault="00337B6A" w:rsidP="004A6E64">
            <w:pPr>
              <w:adjustRightInd w:val="0"/>
              <w:snapToGrid w:val="0"/>
              <w:ind w:left="140" w:firstLine="562"/>
              <w:rPr>
                <w:rFonts w:asciiTheme="majorEastAsia" w:eastAsiaTheme="majorEastAsia" w:hAnsiTheme="majorEastAsia"/>
                <w:bCs/>
                <w:sz w:val="28"/>
                <w:szCs w:val="28"/>
              </w:rPr>
            </w:pPr>
            <w:r>
              <w:rPr>
                <w:rFonts w:asciiTheme="majorEastAsia" w:eastAsiaTheme="majorEastAsia" w:hAnsiTheme="majorEastAsia" w:hint="eastAsia"/>
                <w:bCs/>
                <w:sz w:val="28"/>
                <w:szCs w:val="28"/>
              </w:rPr>
              <w:t>门禁磁力锁</w:t>
            </w:r>
          </w:p>
        </w:tc>
        <w:tc>
          <w:tcPr>
            <w:tcW w:w="1648" w:type="dxa"/>
          </w:tcPr>
          <w:p w:rsidR="00337B6A" w:rsidRDefault="00337B6A" w:rsidP="004A6E64">
            <w:pPr>
              <w:adjustRightInd w:val="0"/>
              <w:snapToGrid w:val="0"/>
              <w:ind w:left="161"/>
              <w:rPr>
                <w:rFonts w:asciiTheme="majorEastAsia" w:eastAsiaTheme="majorEastAsia" w:hAnsiTheme="majorEastAsia"/>
                <w:b/>
                <w:sz w:val="32"/>
                <w:szCs w:val="32"/>
              </w:rPr>
            </w:pPr>
            <w:r>
              <w:rPr>
                <w:rFonts w:asciiTheme="majorEastAsia" w:eastAsiaTheme="majorEastAsia" w:hAnsiTheme="majorEastAsia" w:hint="eastAsia"/>
                <w:b/>
                <w:sz w:val="32"/>
                <w:szCs w:val="32"/>
              </w:rPr>
              <w:t>1（套）</w:t>
            </w:r>
          </w:p>
        </w:tc>
        <w:tc>
          <w:tcPr>
            <w:tcW w:w="1134" w:type="dxa"/>
          </w:tcPr>
          <w:p w:rsidR="00337B6A" w:rsidRDefault="00337B6A" w:rsidP="004A6E64">
            <w:pPr>
              <w:adjustRightInd w:val="0"/>
              <w:snapToGrid w:val="0"/>
              <w:ind w:leftChars="67" w:left="141" w:firstLineChars="50" w:firstLine="140"/>
              <w:rPr>
                <w:rFonts w:asciiTheme="majorEastAsia" w:eastAsiaTheme="majorEastAsia" w:hAnsiTheme="majorEastAsia"/>
                <w:bCs/>
                <w:sz w:val="28"/>
                <w:szCs w:val="28"/>
              </w:rPr>
            </w:pPr>
            <w:r>
              <w:rPr>
                <w:rFonts w:asciiTheme="majorEastAsia" w:eastAsiaTheme="majorEastAsia" w:hAnsiTheme="majorEastAsia" w:hint="eastAsia"/>
                <w:bCs/>
                <w:sz w:val="28"/>
                <w:szCs w:val="28"/>
              </w:rPr>
              <w:t>10%</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r w:rsidR="00337B6A" w:rsidTr="004A6E64">
        <w:tc>
          <w:tcPr>
            <w:tcW w:w="5529" w:type="dxa"/>
            <w:gridSpan w:val="3"/>
          </w:tcPr>
          <w:p w:rsidR="00337B6A" w:rsidRDefault="00337B6A" w:rsidP="004A6E64">
            <w:pPr>
              <w:adjustRightInd w:val="0"/>
              <w:snapToGrid w:val="0"/>
              <w:ind w:left="140" w:firstLine="562"/>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总价（元）</w:t>
            </w:r>
          </w:p>
        </w:tc>
        <w:tc>
          <w:tcPr>
            <w:tcW w:w="1701"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c>
          <w:tcPr>
            <w:tcW w:w="1757" w:type="dxa"/>
          </w:tcPr>
          <w:p w:rsidR="00337B6A" w:rsidRDefault="00337B6A" w:rsidP="004A6E64">
            <w:pPr>
              <w:adjustRightInd w:val="0"/>
              <w:snapToGrid w:val="0"/>
              <w:ind w:left="161" w:firstLine="640"/>
              <w:jc w:val="center"/>
              <w:rPr>
                <w:rFonts w:asciiTheme="majorEastAsia" w:eastAsiaTheme="majorEastAsia" w:hAnsiTheme="majorEastAsia"/>
                <w:b/>
                <w:sz w:val="32"/>
                <w:szCs w:val="32"/>
              </w:rPr>
            </w:pPr>
          </w:p>
        </w:tc>
      </w:tr>
    </w:tbl>
    <w:p w:rsidR="00DD18A3" w:rsidRPr="004048E3" w:rsidRDefault="004048E3" w:rsidP="004A6E64">
      <w:pPr>
        <w:adjustRightInd w:val="0"/>
        <w:snapToGrid w:val="0"/>
        <w:ind w:left="161" w:firstLine="640"/>
        <w:rPr>
          <w:rFonts w:asciiTheme="majorEastAsia" w:eastAsiaTheme="majorEastAsia" w:hAnsiTheme="majorEastAsia"/>
          <w:b/>
          <w:sz w:val="32"/>
          <w:szCs w:val="32"/>
          <w:u w:val="single"/>
        </w:rPr>
      </w:pPr>
      <w:r>
        <w:rPr>
          <w:rFonts w:asciiTheme="majorEastAsia" w:eastAsiaTheme="majorEastAsia" w:hAnsiTheme="majorEastAsia"/>
          <w:b/>
          <w:sz w:val="32"/>
          <w:szCs w:val="32"/>
        </w:rPr>
        <w:t>（三）</w:t>
      </w:r>
      <w:r>
        <w:rPr>
          <w:rFonts w:asciiTheme="majorEastAsia" w:eastAsiaTheme="majorEastAsia" w:hAnsiTheme="majorEastAsia" w:hint="eastAsia"/>
          <w:b/>
          <w:sz w:val="32"/>
          <w:szCs w:val="32"/>
        </w:rPr>
        <w:t>维修人工费＋维修材料费（价格*占比）=</w:t>
      </w:r>
      <w:r>
        <w:rPr>
          <w:rFonts w:asciiTheme="majorEastAsia" w:eastAsiaTheme="majorEastAsia" w:hAnsiTheme="majorEastAsia" w:hint="eastAsia"/>
          <w:b/>
          <w:sz w:val="32"/>
          <w:szCs w:val="32"/>
          <w:u w:val="single"/>
        </w:rPr>
        <w:t xml:space="preserve">     </w:t>
      </w:r>
    </w:p>
    <w:p w:rsidR="004048E3" w:rsidRDefault="004048E3" w:rsidP="004048E3">
      <w:pPr>
        <w:widowControl/>
        <w:tabs>
          <w:tab w:val="left" w:pos="312"/>
        </w:tabs>
        <w:adjustRightInd w:val="0"/>
        <w:snapToGrid w:val="0"/>
        <w:spacing w:beforeLines="50" w:line="240" w:lineRule="auto"/>
        <w:ind w:firstLineChars="300" w:firstLine="964"/>
        <w:rPr>
          <w:rFonts w:asciiTheme="majorEastAsia" w:eastAsiaTheme="majorEastAsia" w:hAnsiTheme="majorEastAsia" w:hint="eastAsia"/>
          <w:b/>
          <w:sz w:val="32"/>
          <w:szCs w:val="32"/>
        </w:rPr>
      </w:pPr>
    </w:p>
    <w:p w:rsidR="00DD18A3" w:rsidRDefault="001976B7" w:rsidP="004048E3">
      <w:pPr>
        <w:widowControl/>
        <w:tabs>
          <w:tab w:val="left" w:pos="312"/>
        </w:tabs>
        <w:adjustRightInd w:val="0"/>
        <w:snapToGrid w:val="0"/>
        <w:spacing w:beforeLines="50" w:line="240" w:lineRule="auto"/>
        <w:ind w:firstLineChars="300" w:firstLine="964"/>
        <w:rPr>
          <w:rFonts w:asciiTheme="majorEastAsia" w:eastAsiaTheme="majorEastAsia" w:hAnsiTheme="majorEastAsia"/>
          <w:b/>
          <w:sz w:val="32"/>
          <w:szCs w:val="32"/>
        </w:rPr>
      </w:pPr>
      <w:r>
        <w:rPr>
          <w:rFonts w:asciiTheme="majorEastAsia" w:eastAsiaTheme="majorEastAsia" w:hAnsiTheme="majorEastAsia" w:hint="eastAsia"/>
          <w:b/>
          <w:sz w:val="32"/>
          <w:szCs w:val="32"/>
        </w:rPr>
        <w:t>表2.江大附院电动门及门禁维修清单</w:t>
      </w:r>
    </w:p>
    <w:tbl>
      <w:tblPr>
        <w:tblStyle w:val="a7"/>
        <w:tblW w:w="0" w:type="auto"/>
        <w:tblLook w:val="04A0"/>
      </w:tblPr>
      <w:tblGrid>
        <w:gridCol w:w="1144"/>
        <w:gridCol w:w="1145"/>
        <w:gridCol w:w="2216"/>
        <w:gridCol w:w="2300"/>
        <w:gridCol w:w="1723"/>
      </w:tblGrid>
      <w:tr w:rsidR="00DD18A3">
        <w:tc>
          <w:tcPr>
            <w:tcW w:w="1144" w:type="dxa"/>
            <w:vMerge w:val="restart"/>
            <w:vAlign w:val="center"/>
          </w:tcPr>
          <w:p w:rsidR="00DD18A3" w:rsidRDefault="001976B7" w:rsidP="00EE5FF8">
            <w:pPr>
              <w:widowControl/>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维修时间</w:t>
            </w:r>
          </w:p>
        </w:tc>
        <w:tc>
          <w:tcPr>
            <w:tcW w:w="1145" w:type="dxa"/>
            <w:vMerge w:val="restart"/>
            <w:vAlign w:val="center"/>
          </w:tcPr>
          <w:p w:rsidR="00DD18A3" w:rsidRDefault="001976B7" w:rsidP="00EE5FF8">
            <w:pPr>
              <w:widowControl/>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维修地点</w:t>
            </w:r>
          </w:p>
        </w:tc>
        <w:tc>
          <w:tcPr>
            <w:tcW w:w="2216" w:type="dxa"/>
            <w:vMerge w:val="restart"/>
            <w:vAlign w:val="center"/>
          </w:tcPr>
          <w:p w:rsidR="00DD18A3" w:rsidRDefault="001976B7" w:rsidP="004A6E64">
            <w:pPr>
              <w:widowControl/>
              <w:snapToGrid w:val="0"/>
              <w:spacing w:line="24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维修内容</w:t>
            </w:r>
          </w:p>
        </w:tc>
        <w:tc>
          <w:tcPr>
            <w:tcW w:w="2300" w:type="dxa"/>
            <w:vMerge w:val="restart"/>
            <w:vAlign w:val="center"/>
          </w:tcPr>
          <w:p w:rsidR="00DD18A3" w:rsidRDefault="001976B7" w:rsidP="004A6E64">
            <w:pPr>
              <w:widowControl/>
              <w:snapToGrid w:val="0"/>
              <w:spacing w:line="24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维修材料</w:t>
            </w:r>
          </w:p>
        </w:tc>
        <w:tc>
          <w:tcPr>
            <w:tcW w:w="1723" w:type="dxa"/>
            <w:vAlign w:val="center"/>
          </w:tcPr>
          <w:p w:rsidR="00DD18A3" w:rsidRDefault="001976B7" w:rsidP="00EE5FF8">
            <w:pPr>
              <w:widowControl/>
              <w:snapToGrid w:val="0"/>
              <w:spacing w:line="240" w:lineRule="auto"/>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总维修费用/元</w:t>
            </w:r>
          </w:p>
        </w:tc>
      </w:tr>
      <w:tr w:rsidR="00DD18A3">
        <w:tc>
          <w:tcPr>
            <w:tcW w:w="1144" w:type="dxa"/>
            <w:vMerge/>
          </w:tcPr>
          <w:p w:rsidR="00DD18A3" w:rsidRDefault="00DD18A3" w:rsidP="004A6E64">
            <w:pPr>
              <w:widowControl/>
              <w:snapToGrid w:val="0"/>
              <w:spacing w:line="240" w:lineRule="auto"/>
              <w:ind w:left="105" w:firstLine="643"/>
              <w:jc w:val="left"/>
              <w:rPr>
                <w:rFonts w:asciiTheme="minorEastAsia" w:eastAsiaTheme="minorEastAsia" w:hAnsiTheme="minorEastAsia"/>
                <w:szCs w:val="21"/>
              </w:rPr>
            </w:pPr>
          </w:p>
        </w:tc>
        <w:tc>
          <w:tcPr>
            <w:tcW w:w="1145" w:type="dxa"/>
            <w:vMerge/>
          </w:tcPr>
          <w:p w:rsidR="00DD18A3" w:rsidRDefault="00DD18A3" w:rsidP="004A6E64">
            <w:pPr>
              <w:widowControl/>
              <w:snapToGrid w:val="0"/>
              <w:spacing w:line="240" w:lineRule="auto"/>
              <w:ind w:left="105" w:firstLine="643"/>
              <w:jc w:val="left"/>
              <w:rPr>
                <w:rFonts w:asciiTheme="minorEastAsia" w:eastAsiaTheme="minorEastAsia" w:hAnsiTheme="minorEastAsia"/>
                <w:szCs w:val="21"/>
              </w:rPr>
            </w:pPr>
          </w:p>
        </w:tc>
        <w:tc>
          <w:tcPr>
            <w:tcW w:w="2216" w:type="dxa"/>
            <w:vMerge/>
          </w:tcPr>
          <w:p w:rsidR="00DD18A3" w:rsidRDefault="00DD18A3" w:rsidP="004A6E64">
            <w:pPr>
              <w:widowControl/>
              <w:snapToGrid w:val="0"/>
              <w:spacing w:line="240" w:lineRule="auto"/>
              <w:ind w:left="105" w:firstLine="643"/>
              <w:jc w:val="left"/>
              <w:rPr>
                <w:rFonts w:asciiTheme="minorEastAsia" w:eastAsiaTheme="minorEastAsia" w:hAnsiTheme="minorEastAsia"/>
                <w:szCs w:val="21"/>
              </w:rPr>
            </w:pPr>
          </w:p>
        </w:tc>
        <w:tc>
          <w:tcPr>
            <w:tcW w:w="2300" w:type="dxa"/>
            <w:vMerge/>
            <w:vAlign w:val="center"/>
          </w:tcPr>
          <w:p w:rsidR="00DD18A3" w:rsidRDefault="00DD18A3" w:rsidP="004A6E64">
            <w:pPr>
              <w:widowControl/>
              <w:snapToGrid w:val="0"/>
              <w:spacing w:line="240" w:lineRule="auto"/>
              <w:ind w:left="105" w:firstLine="643"/>
              <w:rPr>
                <w:rFonts w:asciiTheme="minorEastAsia" w:eastAsiaTheme="minorEastAsia" w:hAnsiTheme="minorEastAsia"/>
                <w:szCs w:val="21"/>
              </w:rPr>
            </w:pPr>
          </w:p>
        </w:tc>
        <w:tc>
          <w:tcPr>
            <w:tcW w:w="1723" w:type="dxa"/>
            <w:vAlign w:val="center"/>
          </w:tcPr>
          <w:p w:rsidR="00DD18A3" w:rsidRDefault="001976B7" w:rsidP="00EE5FF8">
            <w:pPr>
              <w:widowControl/>
              <w:snapToGrid w:val="0"/>
              <w:spacing w:line="24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合计</w:t>
            </w:r>
          </w:p>
        </w:tc>
      </w:tr>
      <w:tr w:rsidR="00DD18A3">
        <w:trPr>
          <w:trHeight w:val="639"/>
        </w:trPr>
        <w:tc>
          <w:tcPr>
            <w:tcW w:w="1144" w:type="dxa"/>
          </w:tcPr>
          <w:p w:rsidR="00DD18A3" w:rsidRDefault="00DD18A3" w:rsidP="004A6E64">
            <w:pPr>
              <w:widowControl/>
              <w:snapToGrid w:val="0"/>
              <w:spacing w:line="240" w:lineRule="auto"/>
              <w:ind w:left="105" w:firstLine="643"/>
              <w:jc w:val="left"/>
              <w:rPr>
                <w:rFonts w:asciiTheme="minorEastAsia" w:eastAsiaTheme="minorEastAsia" w:hAnsiTheme="minorEastAsia"/>
                <w:szCs w:val="21"/>
              </w:rPr>
            </w:pPr>
          </w:p>
        </w:tc>
        <w:tc>
          <w:tcPr>
            <w:tcW w:w="1145" w:type="dxa"/>
          </w:tcPr>
          <w:p w:rsidR="00DD18A3" w:rsidRDefault="00DD18A3" w:rsidP="004A6E64">
            <w:pPr>
              <w:widowControl/>
              <w:snapToGrid w:val="0"/>
              <w:spacing w:line="240" w:lineRule="auto"/>
              <w:ind w:left="105" w:firstLine="643"/>
              <w:jc w:val="left"/>
              <w:rPr>
                <w:rFonts w:asciiTheme="minorEastAsia" w:eastAsiaTheme="minorEastAsia" w:hAnsiTheme="minorEastAsia"/>
                <w:szCs w:val="21"/>
              </w:rPr>
            </w:pPr>
          </w:p>
        </w:tc>
        <w:tc>
          <w:tcPr>
            <w:tcW w:w="2216" w:type="dxa"/>
          </w:tcPr>
          <w:p w:rsidR="00DD18A3" w:rsidRDefault="00DD18A3" w:rsidP="004A6E64">
            <w:pPr>
              <w:widowControl/>
              <w:snapToGrid w:val="0"/>
              <w:spacing w:line="240" w:lineRule="auto"/>
              <w:ind w:left="105" w:firstLine="643"/>
              <w:jc w:val="left"/>
              <w:rPr>
                <w:rFonts w:asciiTheme="minorEastAsia" w:eastAsiaTheme="minorEastAsia" w:hAnsiTheme="minorEastAsia"/>
                <w:szCs w:val="21"/>
              </w:rPr>
            </w:pPr>
          </w:p>
        </w:tc>
        <w:tc>
          <w:tcPr>
            <w:tcW w:w="2300" w:type="dxa"/>
          </w:tcPr>
          <w:p w:rsidR="00DD18A3" w:rsidRDefault="00DD18A3" w:rsidP="004A6E64">
            <w:pPr>
              <w:widowControl/>
              <w:snapToGrid w:val="0"/>
              <w:spacing w:line="240" w:lineRule="auto"/>
              <w:ind w:left="105" w:firstLine="643"/>
              <w:jc w:val="center"/>
              <w:rPr>
                <w:rFonts w:asciiTheme="minorEastAsia" w:eastAsiaTheme="minorEastAsia" w:hAnsiTheme="minorEastAsia"/>
                <w:szCs w:val="21"/>
              </w:rPr>
            </w:pPr>
          </w:p>
        </w:tc>
        <w:tc>
          <w:tcPr>
            <w:tcW w:w="1723" w:type="dxa"/>
          </w:tcPr>
          <w:p w:rsidR="00DD18A3" w:rsidRDefault="00DD18A3" w:rsidP="004A6E64">
            <w:pPr>
              <w:widowControl/>
              <w:snapToGrid w:val="0"/>
              <w:spacing w:line="240" w:lineRule="auto"/>
              <w:ind w:left="105" w:firstLine="643"/>
              <w:jc w:val="center"/>
              <w:rPr>
                <w:rFonts w:asciiTheme="minorEastAsia" w:eastAsiaTheme="minorEastAsia" w:hAnsiTheme="minorEastAsia"/>
                <w:szCs w:val="21"/>
              </w:rPr>
            </w:pPr>
          </w:p>
        </w:tc>
      </w:tr>
    </w:tbl>
    <w:p w:rsidR="00DD18A3" w:rsidRDefault="001976B7" w:rsidP="004048E3">
      <w:pPr>
        <w:widowControl/>
        <w:snapToGrid w:val="0"/>
        <w:spacing w:afterLines="50" w:line="240" w:lineRule="auto"/>
        <w:ind w:firstLineChars="200" w:firstLine="640"/>
        <w:jc w:val="left"/>
        <w:rPr>
          <w:rFonts w:ascii="仿宋" w:eastAsia="仿宋" w:hAnsi="仿宋"/>
          <w:sz w:val="32"/>
          <w:szCs w:val="32"/>
        </w:rPr>
      </w:pPr>
      <w:r>
        <w:rPr>
          <w:rFonts w:ascii="仿宋" w:eastAsia="仿宋" w:hAnsi="仿宋" w:hint="eastAsia"/>
          <w:sz w:val="32"/>
          <w:szCs w:val="32"/>
        </w:rPr>
        <w:t xml:space="preserve">　　　　　　　　　　　　　</w:t>
      </w:r>
    </w:p>
    <w:p w:rsidR="00DD18A3" w:rsidRDefault="001976B7" w:rsidP="004048E3">
      <w:pPr>
        <w:widowControl/>
        <w:snapToGrid w:val="0"/>
        <w:spacing w:afterLines="50" w:line="240" w:lineRule="auto"/>
        <w:ind w:firstLineChars="1500" w:firstLine="4800"/>
        <w:jc w:val="left"/>
        <w:rPr>
          <w:rFonts w:asciiTheme="minorEastAsia" w:eastAsiaTheme="minorEastAsia" w:hAnsiTheme="minorEastAsia"/>
          <w:sz w:val="32"/>
          <w:szCs w:val="32"/>
        </w:rPr>
      </w:pPr>
      <w:r>
        <w:rPr>
          <w:rFonts w:asciiTheme="minorEastAsia" w:eastAsiaTheme="minorEastAsia" w:hAnsiTheme="minorEastAsia" w:hint="eastAsia"/>
          <w:sz w:val="32"/>
          <w:szCs w:val="32"/>
        </w:rPr>
        <w:t>签字：</w:t>
      </w:r>
    </w:p>
    <w:p w:rsidR="00DD18A3" w:rsidRDefault="001976B7" w:rsidP="00E6427F">
      <w:pPr>
        <w:widowControl/>
        <w:snapToGrid w:val="0"/>
        <w:spacing w:afterLines="50" w:line="240" w:lineRule="auto"/>
        <w:ind w:firstLineChars="1500" w:firstLine="4800"/>
        <w:jc w:val="left"/>
        <w:rPr>
          <w:rFonts w:asciiTheme="minorEastAsia" w:eastAsiaTheme="minorEastAsia" w:hAnsiTheme="minorEastAsia"/>
          <w:sz w:val="32"/>
          <w:szCs w:val="32"/>
        </w:rPr>
      </w:pPr>
      <w:r>
        <w:rPr>
          <w:rFonts w:asciiTheme="minorEastAsia" w:eastAsiaTheme="minorEastAsia" w:hAnsiTheme="minorEastAsia" w:hint="eastAsia"/>
          <w:sz w:val="32"/>
          <w:szCs w:val="32"/>
        </w:rPr>
        <w:t>时间：</w:t>
      </w:r>
    </w:p>
    <w:sectPr w:rsidR="00DD18A3" w:rsidSect="00DD18A3">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331" w:rsidRDefault="001A2331" w:rsidP="004A6E64">
      <w:pPr>
        <w:spacing w:after="120" w:line="240" w:lineRule="auto"/>
        <w:ind w:left="105" w:firstLine="643"/>
      </w:pPr>
      <w:r>
        <w:separator/>
      </w:r>
    </w:p>
  </w:endnote>
  <w:endnote w:type="continuationSeparator" w:id="1">
    <w:p w:rsidR="001A2331" w:rsidRDefault="001A2331" w:rsidP="004A6E64">
      <w:pPr>
        <w:spacing w:after="120" w:line="240" w:lineRule="auto"/>
        <w:ind w:left="105" w:firstLine="64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331" w:rsidRDefault="001A2331" w:rsidP="004A6E64">
      <w:pPr>
        <w:spacing w:after="120" w:line="240" w:lineRule="auto"/>
        <w:ind w:left="105" w:firstLine="643"/>
      </w:pPr>
      <w:r>
        <w:separator/>
      </w:r>
    </w:p>
  </w:footnote>
  <w:footnote w:type="continuationSeparator" w:id="1">
    <w:p w:rsidR="001A2331" w:rsidRDefault="001A2331" w:rsidP="004A6E64">
      <w:pPr>
        <w:spacing w:after="120" w:line="240" w:lineRule="auto"/>
        <w:ind w:left="105" w:firstLine="64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339ABA"/>
    <w:multiLevelType w:val="singleLevel"/>
    <w:tmpl w:val="CC339AB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50"/>
  <w:drawingGridHorizontalSpacing w:val="105"/>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EwODdmNWY4YWVkMDFkNDkzNDkwMDhjNTA0OTgwZWQifQ=="/>
  </w:docVars>
  <w:rsids>
    <w:rsidRoot w:val="008F63B3"/>
    <w:rsid w:val="00004901"/>
    <w:rsid w:val="00014026"/>
    <w:rsid w:val="00014807"/>
    <w:rsid w:val="00017FF7"/>
    <w:rsid w:val="00023DE7"/>
    <w:rsid w:val="00030F72"/>
    <w:rsid w:val="00034E43"/>
    <w:rsid w:val="00040D85"/>
    <w:rsid w:val="00061B01"/>
    <w:rsid w:val="00066543"/>
    <w:rsid w:val="00067687"/>
    <w:rsid w:val="00070BB0"/>
    <w:rsid w:val="00075962"/>
    <w:rsid w:val="000826EA"/>
    <w:rsid w:val="00087353"/>
    <w:rsid w:val="000A503E"/>
    <w:rsid w:val="000B46EE"/>
    <w:rsid w:val="000C285F"/>
    <w:rsid w:val="000C7790"/>
    <w:rsid w:val="000D5256"/>
    <w:rsid w:val="0010438D"/>
    <w:rsid w:val="00105B2F"/>
    <w:rsid w:val="001330D4"/>
    <w:rsid w:val="00134E23"/>
    <w:rsid w:val="00144F9F"/>
    <w:rsid w:val="00145EE8"/>
    <w:rsid w:val="001543F0"/>
    <w:rsid w:val="0015763D"/>
    <w:rsid w:val="00162FCD"/>
    <w:rsid w:val="00165974"/>
    <w:rsid w:val="00167E13"/>
    <w:rsid w:val="00170AB5"/>
    <w:rsid w:val="00171012"/>
    <w:rsid w:val="00182D28"/>
    <w:rsid w:val="00183899"/>
    <w:rsid w:val="00183E1C"/>
    <w:rsid w:val="00193DAB"/>
    <w:rsid w:val="001976B7"/>
    <w:rsid w:val="001A0C10"/>
    <w:rsid w:val="001A2331"/>
    <w:rsid w:val="001C3725"/>
    <w:rsid w:val="001D75EA"/>
    <w:rsid w:val="001F0EE4"/>
    <w:rsid w:val="001F4322"/>
    <w:rsid w:val="002005BD"/>
    <w:rsid w:val="0020097B"/>
    <w:rsid w:val="00201E82"/>
    <w:rsid w:val="0022643E"/>
    <w:rsid w:val="00226B59"/>
    <w:rsid w:val="002304EE"/>
    <w:rsid w:val="00235493"/>
    <w:rsid w:val="002434FE"/>
    <w:rsid w:val="00251000"/>
    <w:rsid w:val="00251A47"/>
    <w:rsid w:val="00262B1A"/>
    <w:rsid w:val="00270E7D"/>
    <w:rsid w:val="00270ED3"/>
    <w:rsid w:val="00271924"/>
    <w:rsid w:val="0027273B"/>
    <w:rsid w:val="00283056"/>
    <w:rsid w:val="002B113E"/>
    <w:rsid w:val="002B4629"/>
    <w:rsid w:val="002B52C2"/>
    <w:rsid w:val="002B5BFF"/>
    <w:rsid w:val="002C689A"/>
    <w:rsid w:val="002C6E86"/>
    <w:rsid w:val="002D5C59"/>
    <w:rsid w:val="002F29B6"/>
    <w:rsid w:val="0030214F"/>
    <w:rsid w:val="003133F6"/>
    <w:rsid w:val="0032571F"/>
    <w:rsid w:val="00337B6A"/>
    <w:rsid w:val="00343307"/>
    <w:rsid w:val="00347F81"/>
    <w:rsid w:val="00352AE6"/>
    <w:rsid w:val="0037404C"/>
    <w:rsid w:val="003800F7"/>
    <w:rsid w:val="00384AF9"/>
    <w:rsid w:val="00390A44"/>
    <w:rsid w:val="003A216F"/>
    <w:rsid w:val="003A6ED8"/>
    <w:rsid w:val="003B073B"/>
    <w:rsid w:val="003B2F97"/>
    <w:rsid w:val="003B4252"/>
    <w:rsid w:val="003B60EA"/>
    <w:rsid w:val="003B68B1"/>
    <w:rsid w:val="003C1290"/>
    <w:rsid w:val="003C6D94"/>
    <w:rsid w:val="003D65C0"/>
    <w:rsid w:val="003E44DD"/>
    <w:rsid w:val="003E565E"/>
    <w:rsid w:val="004048E3"/>
    <w:rsid w:val="004105BD"/>
    <w:rsid w:val="0041526A"/>
    <w:rsid w:val="00441201"/>
    <w:rsid w:val="00447AFE"/>
    <w:rsid w:val="004559E4"/>
    <w:rsid w:val="00457BD3"/>
    <w:rsid w:val="0046182B"/>
    <w:rsid w:val="0048664F"/>
    <w:rsid w:val="004A2EEF"/>
    <w:rsid w:val="004A4FBD"/>
    <w:rsid w:val="004A5B44"/>
    <w:rsid w:val="004A6E64"/>
    <w:rsid w:val="004F389B"/>
    <w:rsid w:val="005055A5"/>
    <w:rsid w:val="005208D1"/>
    <w:rsid w:val="00525365"/>
    <w:rsid w:val="0053568E"/>
    <w:rsid w:val="005449EC"/>
    <w:rsid w:val="00553002"/>
    <w:rsid w:val="005621F2"/>
    <w:rsid w:val="00592B8E"/>
    <w:rsid w:val="00597538"/>
    <w:rsid w:val="0059772B"/>
    <w:rsid w:val="005A5615"/>
    <w:rsid w:val="005B0F4D"/>
    <w:rsid w:val="005B302B"/>
    <w:rsid w:val="005B7F03"/>
    <w:rsid w:val="005D3986"/>
    <w:rsid w:val="005E2722"/>
    <w:rsid w:val="00625D73"/>
    <w:rsid w:val="0062665C"/>
    <w:rsid w:val="006445AA"/>
    <w:rsid w:val="006548C1"/>
    <w:rsid w:val="00661D47"/>
    <w:rsid w:val="006628FD"/>
    <w:rsid w:val="0067127E"/>
    <w:rsid w:val="006738C8"/>
    <w:rsid w:val="006839BC"/>
    <w:rsid w:val="00683D0F"/>
    <w:rsid w:val="0068534D"/>
    <w:rsid w:val="00691043"/>
    <w:rsid w:val="00692C35"/>
    <w:rsid w:val="00696050"/>
    <w:rsid w:val="006A0ED5"/>
    <w:rsid w:val="006A7EA4"/>
    <w:rsid w:val="006E1315"/>
    <w:rsid w:val="006E222B"/>
    <w:rsid w:val="006F53C1"/>
    <w:rsid w:val="00700BBE"/>
    <w:rsid w:val="007146F7"/>
    <w:rsid w:val="00727212"/>
    <w:rsid w:val="00727B9F"/>
    <w:rsid w:val="007409EF"/>
    <w:rsid w:val="00743F6E"/>
    <w:rsid w:val="00771438"/>
    <w:rsid w:val="007C74D9"/>
    <w:rsid w:val="007D179B"/>
    <w:rsid w:val="007E11FA"/>
    <w:rsid w:val="007E2F39"/>
    <w:rsid w:val="007F3C6D"/>
    <w:rsid w:val="007F4000"/>
    <w:rsid w:val="00800937"/>
    <w:rsid w:val="00811915"/>
    <w:rsid w:val="00814139"/>
    <w:rsid w:val="00817905"/>
    <w:rsid w:val="00827486"/>
    <w:rsid w:val="008326A9"/>
    <w:rsid w:val="00832CF0"/>
    <w:rsid w:val="00842D1F"/>
    <w:rsid w:val="008614E4"/>
    <w:rsid w:val="00870DD1"/>
    <w:rsid w:val="008769BF"/>
    <w:rsid w:val="00886D0E"/>
    <w:rsid w:val="008919F7"/>
    <w:rsid w:val="008A1CD1"/>
    <w:rsid w:val="008D199F"/>
    <w:rsid w:val="008E1742"/>
    <w:rsid w:val="008E45A7"/>
    <w:rsid w:val="008E6D06"/>
    <w:rsid w:val="008F2F54"/>
    <w:rsid w:val="008F63B3"/>
    <w:rsid w:val="00904C7B"/>
    <w:rsid w:val="00910CFB"/>
    <w:rsid w:val="00913C32"/>
    <w:rsid w:val="009205BA"/>
    <w:rsid w:val="00921011"/>
    <w:rsid w:val="00925707"/>
    <w:rsid w:val="00930AD2"/>
    <w:rsid w:val="00934926"/>
    <w:rsid w:val="00956D12"/>
    <w:rsid w:val="00964D5E"/>
    <w:rsid w:val="00967898"/>
    <w:rsid w:val="009729CA"/>
    <w:rsid w:val="00976EE3"/>
    <w:rsid w:val="0097706D"/>
    <w:rsid w:val="009B135E"/>
    <w:rsid w:val="009B4ED3"/>
    <w:rsid w:val="009D0D5C"/>
    <w:rsid w:val="009D11DE"/>
    <w:rsid w:val="009D54D5"/>
    <w:rsid w:val="009F036D"/>
    <w:rsid w:val="009F453F"/>
    <w:rsid w:val="00A005FE"/>
    <w:rsid w:val="00A07904"/>
    <w:rsid w:val="00A13156"/>
    <w:rsid w:val="00A34727"/>
    <w:rsid w:val="00A3544E"/>
    <w:rsid w:val="00A3731C"/>
    <w:rsid w:val="00A435EB"/>
    <w:rsid w:val="00A43886"/>
    <w:rsid w:val="00A50E65"/>
    <w:rsid w:val="00A61340"/>
    <w:rsid w:val="00A773AD"/>
    <w:rsid w:val="00A861DB"/>
    <w:rsid w:val="00A917F5"/>
    <w:rsid w:val="00A96377"/>
    <w:rsid w:val="00AA3287"/>
    <w:rsid w:val="00AC057F"/>
    <w:rsid w:val="00AC264F"/>
    <w:rsid w:val="00AC7849"/>
    <w:rsid w:val="00AD0D45"/>
    <w:rsid w:val="00AD4E40"/>
    <w:rsid w:val="00AE1028"/>
    <w:rsid w:val="00AE412D"/>
    <w:rsid w:val="00AF607D"/>
    <w:rsid w:val="00AF7150"/>
    <w:rsid w:val="00B40398"/>
    <w:rsid w:val="00B479CB"/>
    <w:rsid w:val="00B55534"/>
    <w:rsid w:val="00B568B3"/>
    <w:rsid w:val="00B6118F"/>
    <w:rsid w:val="00B62E12"/>
    <w:rsid w:val="00B70998"/>
    <w:rsid w:val="00B83E0E"/>
    <w:rsid w:val="00B84F72"/>
    <w:rsid w:val="00BA3EF7"/>
    <w:rsid w:val="00BA54F0"/>
    <w:rsid w:val="00BB00F1"/>
    <w:rsid w:val="00BB56EB"/>
    <w:rsid w:val="00BB64FC"/>
    <w:rsid w:val="00BC565F"/>
    <w:rsid w:val="00BC76B2"/>
    <w:rsid w:val="00BD0AF3"/>
    <w:rsid w:val="00BD5A73"/>
    <w:rsid w:val="00BE2F92"/>
    <w:rsid w:val="00C174BD"/>
    <w:rsid w:val="00C23A80"/>
    <w:rsid w:val="00C24ED5"/>
    <w:rsid w:val="00C41057"/>
    <w:rsid w:val="00C76C30"/>
    <w:rsid w:val="00C844E2"/>
    <w:rsid w:val="00C85F58"/>
    <w:rsid w:val="00C956F9"/>
    <w:rsid w:val="00CD2235"/>
    <w:rsid w:val="00CD31A3"/>
    <w:rsid w:val="00CF37E3"/>
    <w:rsid w:val="00D16356"/>
    <w:rsid w:val="00D23FCD"/>
    <w:rsid w:val="00D24338"/>
    <w:rsid w:val="00D26008"/>
    <w:rsid w:val="00D31126"/>
    <w:rsid w:val="00D31678"/>
    <w:rsid w:val="00D461F2"/>
    <w:rsid w:val="00D46237"/>
    <w:rsid w:val="00D47E72"/>
    <w:rsid w:val="00D51E00"/>
    <w:rsid w:val="00D53FB7"/>
    <w:rsid w:val="00D56E7E"/>
    <w:rsid w:val="00D57B6F"/>
    <w:rsid w:val="00D62F9A"/>
    <w:rsid w:val="00D6634D"/>
    <w:rsid w:val="00D816DB"/>
    <w:rsid w:val="00D85226"/>
    <w:rsid w:val="00D9410E"/>
    <w:rsid w:val="00DA3DE3"/>
    <w:rsid w:val="00DB3E1C"/>
    <w:rsid w:val="00DD18A3"/>
    <w:rsid w:val="00DD3E58"/>
    <w:rsid w:val="00DE161F"/>
    <w:rsid w:val="00DF6822"/>
    <w:rsid w:val="00E01717"/>
    <w:rsid w:val="00E06CEB"/>
    <w:rsid w:val="00E10B03"/>
    <w:rsid w:val="00E155AA"/>
    <w:rsid w:val="00E24039"/>
    <w:rsid w:val="00E3045C"/>
    <w:rsid w:val="00E3769D"/>
    <w:rsid w:val="00E423CB"/>
    <w:rsid w:val="00E53C4C"/>
    <w:rsid w:val="00E56071"/>
    <w:rsid w:val="00E6427F"/>
    <w:rsid w:val="00E67115"/>
    <w:rsid w:val="00E84C10"/>
    <w:rsid w:val="00E87E2D"/>
    <w:rsid w:val="00E92A5F"/>
    <w:rsid w:val="00E92D41"/>
    <w:rsid w:val="00EA4890"/>
    <w:rsid w:val="00ED0946"/>
    <w:rsid w:val="00ED5B38"/>
    <w:rsid w:val="00ED5BCE"/>
    <w:rsid w:val="00EE107C"/>
    <w:rsid w:val="00EE5FF8"/>
    <w:rsid w:val="00EE6CE5"/>
    <w:rsid w:val="00EE6E3A"/>
    <w:rsid w:val="00EF27DB"/>
    <w:rsid w:val="00EF69F3"/>
    <w:rsid w:val="00F01EC5"/>
    <w:rsid w:val="00F04DC6"/>
    <w:rsid w:val="00F10832"/>
    <w:rsid w:val="00F14C92"/>
    <w:rsid w:val="00F20C5F"/>
    <w:rsid w:val="00F211B3"/>
    <w:rsid w:val="00F27F61"/>
    <w:rsid w:val="00F32D06"/>
    <w:rsid w:val="00F3532F"/>
    <w:rsid w:val="00F61EA6"/>
    <w:rsid w:val="00F71043"/>
    <w:rsid w:val="00F718F5"/>
    <w:rsid w:val="00F71DEB"/>
    <w:rsid w:val="00F72694"/>
    <w:rsid w:val="00F76A31"/>
    <w:rsid w:val="00F77A6C"/>
    <w:rsid w:val="00F82476"/>
    <w:rsid w:val="00F91EF8"/>
    <w:rsid w:val="00FA6D78"/>
    <w:rsid w:val="00FB467F"/>
    <w:rsid w:val="00FE7146"/>
    <w:rsid w:val="020E5596"/>
    <w:rsid w:val="026E093A"/>
    <w:rsid w:val="0435562A"/>
    <w:rsid w:val="04BF387F"/>
    <w:rsid w:val="04C3735B"/>
    <w:rsid w:val="0ADF5FB7"/>
    <w:rsid w:val="1A502AF8"/>
    <w:rsid w:val="1B6F1B8E"/>
    <w:rsid w:val="1C4E0928"/>
    <w:rsid w:val="1E012E11"/>
    <w:rsid w:val="1F6546EB"/>
    <w:rsid w:val="2A9D5AD1"/>
    <w:rsid w:val="2C68486B"/>
    <w:rsid w:val="2DAE0895"/>
    <w:rsid w:val="30D10F27"/>
    <w:rsid w:val="337B5F47"/>
    <w:rsid w:val="3605277F"/>
    <w:rsid w:val="48326701"/>
    <w:rsid w:val="537F056D"/>
    <w:rsid w:val="56B6734F"/>
    <w:rsid w:val="5F6B7BA6"/>
    <w:rsid w:val="6C0E6031"/>
    <w:rsid w:val="6E9F34CB"/>
    <w:rsid w:val="7D7E4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D18A3"/>
    <w:pPr>
      <w:widowControl w:val="0"/>
      <w:spacing w:line="50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autoRedefine/>
    <w:uiPriority w:val="99"/>
    <w:unhideWhenUsed/>
    <w:qFormat/>
    <w:rsid w:val="00DD18A3"/>
    <w:pPr>
      <w:ind w:leftChars="600" w:left="600"/>
    </w:pPr>
    <w:rPr>
      <w:rFonts w:ascii="Verdana" w:hAnsi="Verdana"/>
      <w:szCs w:val="20"/>
    </w:rPr>
  </w:style>
  <w:style w:type="paragraph" w:styleId="a3">
    <w:name w:val="Balloon Text"/>
    <w:basedOn w:val="a"/>
    <w:autoRedefine/>
    <w:semiHidden/>
    <w:qFormat/>
    <w:rsid w:val="00DD18A3"/>
    <w:rPr>
      <w:sz w:val="18"/>
      <w:szCs w:val="18"/>
    </w:rPr>
  </w:style>
  <w:style w:type="paragraph" w:styleId="a4">
    <w:name w:val="footer"/>
    <w:basedOn w:val="a"/>
    <w:link w:val="Char"/>
    <w:autoRedefine/>
    <w:uiPriority w:val="99"/>
    <w:qFormat/>
    <w:rsid w:val="00DD18A3"/>
    <w:pPr>
      <w:tabs>
        <w:tab w:val="center" w:pos="4153"/>
        <w:tab w:val="right" w:pos="8306"/>
      </w:tabs>
      <w:snapToGrid w:val="0"/>
      <w:jc w:val="left"/>
    </w:pPr>
    <w:rPr>
      <w:sz w:val="18"/>
      <w:szCs w:val="18"/>
    </w:rPr>
  </w:style>
  <w:style w:type="paragraph" w:styleId="a5">
    <w:name w:val="header"/>
    <w:basedOn w:val="a"/>
    <w:link w:val="Char0"/>
    <w:autoRedefine/>
    <w:uiPriority w:val="99"/>
    <w:qFormat/>
    <w:rsid w:val="00DD18A3"/>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DD18A3"/>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autoRedefine/>
    <w:qFormat/>
    <w:rsid w:val="00DD18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sid w:val="00DD18A3"/>
    <w:rPr>
      <w:b/>
      <w:bCs/>
    </w:rPr>
  </w:style>
  <w:style w:type="character" w:styleId="a9">
    <w:name w:val="Hyperlink"/>
    <w:basedOn w:val="a0"/>
    <w:autoRedefine/>
    <w:uiPriority w:val="99"/>
    <w:unhideWhenUsed/>
    <w:qFormat/>
    <w:rsid w:val="00DD18A3"/>
    <w:rPr>
      <w:color w:val="0000FF"/>
      <w:u w:val="single"/>
    </w:rPr>
  </w:style>
  <w:style w:type="character" w:customStyle="1" w:styleId="Char0">
    <w:name w:val="页眉 Char"/>
    <w:link w:val="a5"/>
    <w:autoRedefine/>
    <w:uiPriority w:val="99"/>
    <w:qFormat/>
    <w:rsid w:val="00DD18A3"/>
    <w:rPr>
      <w:kern w:val="2"/>
      <w:sz w:val="18"/>
      <w:szCs w:val="18"/>
    </w:rPr>
  </w:style>
  <w:style w:type="character" w:customStyle="1" w:styleId="Char">
    <w:name w:val="页脚 Char"/>
    <w:link w:val="a4"/>
    <w:autoRedefine/>
    <w:uiPriority w:val="99"/>
    <w:qFormat/>
    <w:rsid w:val="00DD18A3"/>
    <w:rPr>
      <w:kern w:val="2"/>
      <w:sz w:val="18"/>
      <w:szCs w:val="18"/>
    </w:rPr>
  </w:style>
  <w:style w:type="paragraph" w:styleId="aa">
    <w:name w:val="No Spacing"/>
    <w:link w:val="Char1"/>
    <w:autoRedefine/>
    <w:uiPriority w:val="1"/>
    <w:qFormat/>
    <w:rsid w:val="00DD18A3"/>
    <w:pPr>
      <w:spacing w:line="500" w:lineRule="exact"/>
    </w:pPr>
    <w:rPr>
      <w:rFonts w:ascii="Calibri" w:hAnsi="Calibri"/>
      <w:sz w:val="22"/>
      <w:szCs w:val="22"/>
    </w:rPr>
  </w:style>
  <w:style w:type="character" w:customStyle="1" w:styleId="Char1">
    <w:name w:val="无间隔 Char"/>
    <w:link w:val="aa"/>
    <w:autoRedefine/>
    <w:uiPriority w:val="1"/>
    <w:qFormat/>
    <w:rsid w:val="00DD18A3"/>
    <w:rPr>
      <w:rFonts w:ascii="Calibri" w:hAnsi="Calibri"/>
      <w:sz w:val="22"/>
      <w:szCs w:val="22"/>
      <w:lang w:bidi="ar-SA"/>
    </w:rPr>
  </w:style>
  <w:style w:type="table" w:customStyle="1" w:styleId="1">
    <w:name w:val="网格型1"/>
    <w:basedOn w:val="a1"/>
    <w:autoRedefine/>
    <w:uiPriority w:val="59"/>
    <w:qFormat/>
    <w:rsid w:val="00DD18A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autoRedefine/>
    <w:uiPriority w:val="99"/>
    <w:unhideWhenUsed/>
    <w:qFormat/>
    <w:rsid w:val="00DD18A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7A25-4E81-4885-A2C6-08D37B92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3</Pages>
  <Words>211</Words>
  <Characters>1208</Characters>
  <Application>Microsoft Office Word</Application>
  <DocSecurity>0</DocSecurity>
  <Lines>10</Lines>
  <Paragraphs>2</Paragraphs>
  <ScaleCrop>false</ScaleCrop>
  <Company>SJTU</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2</cp:lastModifiedBy>
  <cp:revision>21</cp:revision>
  <cp:lastPrinted>2025-04-14T00:09:00Z</cp:lastPrinted>
  <dcterms:created xsi:type="dcterms:W3CDTF">2022-07-28T01:42:00Z</dcterms:created>
  <dcterms:modified xsi:type="dcterms:W3CDTF">2025-04-21T01:58:00Z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417C29D20A1C46D5BC20A05EF651EEF8_13</vt:lpwstr>
  </property>
  <property fmtid="{D5CDD505-2E9C-101B-9397-08002B2CF9AE}" pid="4" name="KSOTemplateDocerSaveRecord">
    <vt:lpwstr>eyJoZGlkIjoiODEwODdmNWY4YWVkMDFkNDkzNDkwMDhjNTA0OTgwZWQiLCJ1c2VySWQiOiI4MDQyODQ1MTkifQ==</vt:lpwstr>
  </property>
</Properties>
</file>