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9F" w:rsidRDefault="0014739F" w:rsidP="0014739F">
      <w:pPr>
        <w:pStyle w:val="a4"/>
        <w:snapToGrid w:val="0"/>
        <w:spacing w:before="120" w:after="120" w:line="0" w:lineRule="atLeast"/>
        <w:jc w:val="center"/>
        <w:rPr>
          <w:rFonts w:ascii="黑体" w:eastAsia="黑体"/>
          <w:bCs/>
          <w:sz w:val="44"/>
        </w:rPr>
      </w:pPr>
      <w:r>
        <w:rPr>
          <w:rFonts w:ascii="黑体" w:eastAsia="黑体" w:hint="eastAsia"/>
          <w:bCs/>
          <w:sz w:val="44"/>
        </w:rPr>
        <w:t>第四章 项目需求</w:t>
      </w:r>
    </w:p>
    <w:p w:rsidR="0014739F" w:rsidRDefault="0014739F" w:rsidP="0014739F">
      <w:pPr>
        <w:pStyle w:val="a4"/>
        <w:snapToGrid w:val="0"/>
        <w:spacing w:before="120" w:after="120" w:line="0" w:lineRule="atLeast"/>
        <w:rPr>
          <w:rFonts w:ascii="黑体" w:eastAsia="黑体"/>
          <w:bCs/>
          <w:sz w:val="44"/>
        </w:rPr>
      </w:pPr>
      <w:r>
        <w:rPr>
          <w:rFonts w:ascii="黑体" w:eastAsia="黑体" w:hint="eastAsia"/>
          <w:bCs/>
          <w:sz w:val="44"/>
        </w:rPr>
        <w:t>技术及服务、商务要求</w:t>
      </w:r>
    </w:p>
    <w:p w:rsidR="0014739F" w:rsidRPr="008F4333" w:rsidRDefault="0014739F" w:rsidP="0014739F">
      <w:pPr>
        <w:spacing w:line="360" w:lineRule="auto"/>
        <w:jc w:val="left"/>
        <w:rPr>
          <w:rFonts w:ascii="宋体" w:hAnsi="宋体"/>
          <w:b/>
          <w:color w:val="000000"/>
        </w:rPr>
      </w:pPr>
      <w:r w:rsidRPr="008F4333">
        <w:rPr>
          <w:rFonts w:ascii="宋体" w:hAnsi="宋体" w:hint="eastAsia"/>
          <w:b/>
          <w:color w:val="000000"/>
        </w:rPr>
        <w:t>采购需求一览表（货物类）：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1"/>
        <w:gridCol w:w="1701"/>
        <w:gridCol w:w="850"/>
        <w:gridCol w:w="851"/>
        <w:gridCol w:w="2410"/>
      </w:tblGrid>
      <w:tr w:rsidR="0014739F" w:rsidRPr="008F4333" w:rsidTr="0066374C">
        <w:trPr>
          <w:trHeight w:val="70"/>
        </w:trPr>
        <w:tc>
          <w:tcPr>
            <w:tcW w:w="709" w:type="dxa"/>
            <w:vAlign w:val="center"/>
          </w:tcPr>
          <w:p w:rsidR="0014739F" w:rsidRPr="008F4333" w:rsidRDefault="0014739F" w:rsidP="0066374C">
            <w:pPr>
              <w:jc w:val="center"/>
              <w:rPr>
                <w:rFonts w:ascii="宋体" w:hAnsi="宋体"/>
                <w:color w:val="000000"/>
              </w:rPr>
            </w:pPr>
            <w:r w:rsidRPr="008F4333">
              <w:rPr>
                <w:rFonts w:ascii="宋体" w:hAnsi="宋体" w:hint="eastAsia"/>
                <w:color w:val="000000"/>
              </w:rPr>
              <w:t>序号</w:t>
            </w:r>
          </w:p>
        </w:tc>
        <w:tc>
          <w:tcPr>
            <w:tcW w:w="1951" w:type="dxa"/>
            <w:vAlign w:val="center"/>
          </w:tcPr>
          <w:p w:rsidR="0014739F" w:rsidRPr="008F4333" w:rsidRDefault="0014739F" w:rsidP="0066374C">
            <w:pPr>
              <w:widowControl/>
              <w:jc w:val="center"/>
              <w:rPr>
                <w:rFonts w:ascii="宋体" w:hAnsi="宋体"/>
                <w:color w:val="000000"/>
              </w:rPr>
            </w:pPr>
            <w:r w:rsidRPr="008F4333">
              <w:rPr>
                <w:rFonts w:ascii="宋体" w:hAnsi="宋体" w:hint="eastAsia"/>
                <w:color w:val="000000"/>
              </w:rPr>
              <w:t>货物名称</w:t>
            </w:r>
          </w:p>
        </w:tc>
        <w:tc>
          <w:tcPr>
            <w:tcW w:w="170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是否为进口设备</w:t>
            </w:r>
          </w:p>
        </w:tc>
        <w:tc>
          <w:tcPr>
            <w:tcW w:w="850"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单位</w:t>
            </w:r>
          </w:p>
        </w:tc>
        <w:tc>
          <w:tcPr>
            <w:tcW w:w="85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数量</w:t>
            </w:r>
          </w:p>
        </w:tc>
        <w:tc>
          <w:tcPr>
            <w:tcW w:w="2410"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是否属核心产品</w:t>
            </w:r>
          </w:p>
        </w:tc>
      </w:tr>
      <w:tr w:rsidR="0014739F" w:rsidRPr="008F4333" w:rsidTr="0066374C">
        <w:trPr>
          <w:trHeight w:val="70"/>
        </w:trPr>
        <w:tc>
          <w:tcPr>
            <w:tcW w:w="709" w:type="dxa"/>
            <w:vAlign w:val="center"/>
          </w:tcPr>
          <w:p w:rsidR="0014739F" w:rsidRPr="008F4333" w:rsidRDefault="0014739F" w:rsidP="0066374C">
            <w:pPr>
              <w:jc w:val="center"/>
              <w:rPr>
                <w:rFonts w:ascii="宋体" w:hAnsi="宋体"/>
                <w:color w:val="000000"/>
              </w:rPr>
            </w:pPr>
            <w:r w:rsidRPr="008F4333">
              <w:rPr>
                <w:rFonts w:ascii="宋体" w:hAnsi="宋体" w:hint="eastAsia"/>
                <w:color w:val="000000"/>
              </w:rPr>
              <w:t>1</w:t>
            </w:r>
          </w:p>
        </w:tc>
        <w:tc>
          <w:tcPr>
            <w:tcW w:w="1951"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cs="楷体" w:hint="eastAsia"/>
                <w:color w:val="000000"/>
                <w:szCs w:val="21"/>
              </w:rPr>
              <w:t>超融合服务器</w:t>
            </w:r>
          </w:p>
        </w:tc>
        <w:tc>
          <w:tcPr>
            <w:tcW w:w="170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否</w:t>
            </w:r>
          </w:p>
        </w:tc>
        <w:tc>
          <w:tcPr>
            <w:tcW w:w="850"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台</w:t>
            </w:r>
          </w:p>
        </w:tc>
        <w:tc>
          <w:tcPr>
            <w:tcW w:w="85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color w:val="000000"/>
              </w:rPr>
              <w:t>7</w:t>
            </w:r>
          </w:p>
        </w:tc>
        <w:tc>
          <w:tcPr>
            <w:tcW w:w="2410"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是</w:t>
            </w:r>
          </w:p>
        </w:tc>
      </w:tr>
      <w:tr w:rsidR="0014739F" w:rsidRPr="008F4333" w:rsidTr="0066374C">
        <w:trPr>
          <w:trHeight w:val="70"/>
        </w:trPr>
        <w:tc>
          <w:tcPr>
            <w:tcW w:w="709" w:type="dxa"/>
            <w:vAlign w:val="center"/>
          </w:tcPr>
          <w:p w:rsidR="0014739F" w:rsidRPr="008F4333" w:rsidRDefault="0014739F" w:rsidP="0066374C">
            <w:pPr>
              <w:jc w:val="center"/>
              <w:rPr>
                <w:rFonts w:ascii="宋体" w:hAnsi="宋体" w:hint="eastAsia"/>
                <w:color w:val="000000"/>
              </w:rPr>
            </w:pPr>
            <w:r w:rsidRPr="008F4333">
              <w:rPr>
                <w:rFonts w:ascii="宋体" w:hAnsi="宋体" w:hint="eastAsia"/>
                <w:color w:val="000000"/>
              </w:rPr>
              <w:t>2</w:t>
            </w:r>
          </w:p>
        </w:tc>
        <w:tc>
          <w:tcPr>
            <w:tcW w:w="1951" w:type="dxa"/>
            <w:vAlign w:val="center"/>
          </w:tcPr>
          <w:p w:rsidR="0014739F" w:rsidRPr="008F4333" w:rsidRDefault="0014739F" w:rsidP="0066374C">
            <w:pPr>
              <w:widowControl/>
              <w:jc w:val="center"/>
              <w:rPr>
                <w:rFonts w:ascii="宋体" w:hAnsi="宋体" w:cs="楷体" w:hint="eastAsia"/>
                <w:color w:val="000000"/>
                <w:szCs w:val="21"/>
              </w:rPr>
            </w:pPr>
            <w:r w:rsidRPr="008F4333">
              <w:rPr>
                <w:rFonts w:ascii="宋体" w:hAnsi="宋体" w:cs="楷体" w:hint="eastAsia"/>
                <w:color w:val="000000"/>
                <w:szCs w:val="21"/>
              </w:rPr>
              <w:t>2</w:t>
            </w:r>
            <w:r w:rsidRPr="008F4333">
              <w:rPr>
                <w:rFonts w:ascii="宋体" w:hAnsi="宋体" w:cs="楷体"/>
                <w:color w:val="000000"/>
                <w:szCs w:val="21"/>
              </w:rPr>
              <w:t>5G</w:t>
            </w:r>
            <w:r w:rsidRPr="008F4333">
              <w:rPr>
                <w:rFonts w:ascii="宋体" w:hAnsi="宋体" w:cs="楷体" w:hint="eastAsia"/>
                <w:color w:val="000000"/>
                <w:szCs w:val="21"/>
              </w:rPr>
              <w:t>交换机</w:t>
            </w:r>
          </w:p>
        </w:tc>
        <w:tc>
          <w:tcPr>
            <w:tcW w:w="1701" w:type="dxa"/>
            <w:vAlign w:val="center"/>
          </w:tcPr>
          <w:p w:rsidR="0014739F" w:rsidRPr="008F4333" w:rsidRDefault="0014739F" w:rsidP="0066374C">
            <w:pPr>
              <w:widowControl/>
              <w:spacing w:line="360" w:lineRule="auto"/>
              <w:jc w:val="center"/>
              <w:rPr>
                <w:rFonts w:ascii="宋体" w:hAnsi="宋体" w:hint="eastAsia"/>
                <w:color w:val="000000"/>
              </w:rPr>
            </w:pPr>
            <w:r w:rsidRPr="008F4333">
              <w:rPr>
                <w:rFonts w:ascii="宋体" w:hAnsi="宋体" w:hint="eastAsia"/>
                <w:color w:val="000000"/>
              </w:rPr>
              <w:t>否</w:t>
            </w:r>
          </w:p>
        </w:tc>
        <w:tc>
          <w:tcPr>
            <w:tcW w:w="850" w:type="dxa"/>
            <w:vAlign w:val="center"/>
          </w:tcPr>
          <w:p w:rsidR="0014739F" w:rsidRPr="008F4333" w:rsidRDefault="0014739F" w:rsidP="0066374C">
            <w:pPr>
              <w:widowControl/>
              <w:spacing w:line="360" w:lineRule="auto"/>
              <w:jc w:val="center"/>
              <w:rPr>
                <w:rFonts w:ascii="宋体" w:hAnsi="宋体" w:hint="eastAsia"/>
                <w:color w:val="000000"/>
              </w:rPr>
            </w:pPr>
            <w:r w:rsidRPr="008F4333">
              <w:rPr>
                <w:rFonts w:ascii="宋体" w:hAnsi="宋体" w:hint="eastAsia"/>
                <w:color w:val="000000"/>
              </w:rPr>
              <w:t>台</w:t>
            </w:r>
          </w:p>
        </w:tc>
        <w:tc>
          <w:tcPr>
            <w:tcW w:w="85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2</w:t>
            </w:r>
          </w:p>
        </w:tc>
        <w:tc>
          <w:tcPr>
            <w:tcW w:w="2410" w:type="dxa"/>
            <w:vAlign w:val="center"/>
          </w:tcPr>
          <w:p w:rsidR="0014739F" w:rsidRPr="008F4333" w:rsidRDefault="0014739F" w:rsidP="0066374C">
            <w:pPr>
              <w:widowControl/>
              <w:spacing w:line="360" w:lineRule="auto"/>
              <w:jc w:val="center"/>
              <w:rPr>
                <w:rFonts w:ascii="宋体" w:hAnsi="宋体" w:hint="eastAsia"/>
                <w:color w:val="000000"/>
              </w:rPr>
            </w:pPr>
            <w:r w:rsidRPr="008F4333">
              <w:rPr>
                <w:rFonts w:ascii="宋体" w:hAnsi="宋体" w:hint="eastAsia"/>
                <w:color w:val="000000"/>
              </w:rPr>
              <w:t>否</w:t>
            </w:r>
          </w:p>
        </w:tc>
      </w:tr>
    </w:tbl>
    <w:p w:rsidR="0014739F" w:rsidRPr="008F4333" w:rsidRDefault="0014739F" w:rsidP="0014739F">
      <w:pPr>
        <w:spacing w:line="360" w:lineRule="auto"/>
        <w:jc w:val="left"/>
        <w:rPr>
          <w:rFonts w:ascii="宋体" w:hAnsi="宋体"/>
          <w:color w:val="000000"/>
        </w:rPr>
      </w:pPr>
      <w:r w:rsidRPr="008F4333">
        <w:rPr>
          <w:rFonts w:ascii="宋体" w:hAnsi="宋体" w:hint="eastAsia"/>
          <w:b/>
          <w:color w:val="000000"/>
        </w:rPr>
        <w:t>技术指标（按一览表中货物分别填写）</w:t>
      </w:r>
    </w:p>
    <w:p w:rsidR="0014739F" w:rsidRPr="008F4333" w:rsidRDefault="0014739F" w:rsidP="0014739F">
      <w:pPr>
        <w:spacing w:line="360" w:lineRule="auto"/>
        <w:ind w:firstLine="413"/>
        <w:outlineLvl w:val="0"/>
        <w:rPr>
          <w:rFonts w:ascii="宋体" w:hAnsi="宋体"/>
          <w:color w:val="000000"/>
        </w:rPr>
      </w:pPr>
      <w:r w:rsidRPr="008F4333">
        <w:rPr>
          <w:rFonts w:ascii="宋体" w:hAnsi="宋体" w:hint="eastAsia"/>
          <w:color w:val="000000"/>
        </w:rPr>
        <w:t>1.</w:t>
      </w:r>
      <w:r w:rsidRPr="008F4333">
        <w:rPr>
          <w:rFonts w:ascii="宋体" w:hAnsi="宋体" w:hint="eastAsia"/>
          <w:color w:val="000000"/>
          <w:u w:val="single"/>
        </w:rPr>
        <w:t xml:space="preserve"> 超融合服务器</w:t>
      </w:r>
      <w:r w:rsidRPr="008F4333">
        <w:rPr>
          <w:rFonts w:ascii="宋体" w:hAnsi="宋体" w:hint="eastAsia"/>
          <w:color w:val="000000"/>
        </w:rPr>
        <w:t>（</w:t>
      </w:r>
      <w:r w:rsidRPr="008F4333">
        <w:rPr>
          <w:rFonts w:ascii="宋体" w:hAnsi="宋体" w:hint="eastAsia"/>
          <w:color w:val="000000"/>
          <w:u w:val="single"/>
        </w:rPr>
        <w:t xml:space="preserve"> </w:t>
      </w:r>
      <w:r w:rsidRPr="008F4333">
        <w:rPr>
          <w:rFonts w:ascii="宋体" w:hAnsi="宋体"/>
          <w:color w:val="000000"/>
          <w:u w:val="single"/>
        </w:rPr>
        <w:t>7</w:t>
      </w:r>
      <w:r w:rsidRPr="008F4333">
        <w:rPr>
          <w:rFonts w:ascii="宋体" w:hAnsi="宋体" w:hint="eastAsia"/>
          <w:color w:val="000000"/>
          <w:u w:val="single"/>
        </w:rPr>
        <w:t xml:space="preserve"> </w:t>
      </w:r>
      <w:r w:rsidRPr="008F4333">
        <w:rPr>
          <w:rFonts w:ascii="宋体" w:hAnsi="宋体" w:hint="eastAsia"/>
          <w:color w:val="000000"/>
        </w:rPr>
        <w:t>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851"/>
        <w:gridCol w:w="3827"/>
        <w:gridCol w:w="1843"/>
      </w:tblGrid>
      <w:tr w:rsidR="0014739F" w:rsidRPr="008F4333" w:rsidTr="0066374C">
        <w:trPr>
          <w:trHeight w:val="70"/>
        </w:trPr>
        <w:tc>
          <w:tcPr>
            <w:tcW w:w="675" w:type="dxa"/>
            <w:vAlign w:val="center"/>
          </w:tcPr>
          <w:p w:rsidR="0014739F" w:rsidRPr="008F4333" w:rsidRDefault="0014739F" w:rsidP="0066374C">
            <w:pPr>
              <w:jc w:val="center"/>
              <w:rPr>
                <w:rFonts w:ascii="宋体" w:hAnsi="宋体"/>
                <w:color w:val="000000"/>
              </w:rPr>
            </w:pPr>
            <w:r w:rsidRPr="008F4333">
              <w:rPr>
                <w:rFonts w:ascii="宋体" w:hAnsi="宋体" w:hint="eastAsia"/>
                <w:color w:val="000000"/>
              </w:rPr>
              <w:t>序号</w:t>
            </w:r>
          </w:p>
        </w:tc>
        <w:tc>
          <w:tcPr>
            <w:tcW w:w="1276" w:type="dxa"/>
            <w:vAlign w:val="center"/>
          </w:tcPr>
          <w:p w:rsidR="0014739F" w:rsidRPr="008F4333" w:rsidRDefault="0014739F" w:rsidP="0066374C">
            <w:pPr>
              <w:widowControl/>
              <w:jc w:val="center"/>
              <w:rPr>
                <w:rFonts w:ascii="宋体" w:hAnsi="宋体"/>
                <w:color w:val="000000"/>
              </w:rPr>
            </w:pPr>
            <w:r w:rsidRPr="008F4333">
              <w:rPr>
                <w:rFonts w:ascii="宋体" w:hAnsi="宋体" w:hint="eastAsia"/>
                <w:color w:val="000000"/>
              </w:rPr>
              <w:t>指标项</w:t>
            </w:r>
          </w:p>
        </w:tc>
        <w:tc>
          <w:tcPr>
            <w:tcW w:w="851"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重要性</w:t>
            </w:r>
          </w:p>
        </w:tc>
        <w:tc>
          <w:tcPr>
            <w:tcW w:w="3827"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指标要求</w:t>
            </w:r>
          </w:p>
        </w:tc>
        <w:tc>
          <w:tcPr>
            <w:tcW w:w="1843" w:type="dxa"/>
            <w:vAlign w:val="center"/>
          </w:tcPr>
          <w:p w:rsidR="0014739F" w:rsidRPr="008F4333" w:rsidRDefault="0014739F" w:rsidP="0066374C">
            <w:pPr>
              <w:widowControl/>
              <w:spacing w:line="360" w:lineRule="auto"/>
              <w:jc w:val="center"/>
              <w:rPr>
                <w:rFonts w:ascii="宋体" w:hAnsi="宋体"/>
                <w:color w:val="000000"/>
              </w:rPr>
            </w:pPr>
            <w:r w:rsidRPr="008F4333">
              <w:rPr>
                <w:rFonts w:ascii="宋体" w:hAnsi="宋体" w:hint="eastAsia"/>
                <w:color w:val="000000"/>
              </w:rPr>
              <w:t>关键指标理由</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基本要求</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必须满足</w:t>
            </w:r>
          </w:p>
        </w:tc>
        <w:tc>
          <w:tcPr>
            <w:tcW w:w="3827" w:type="dxa"/>
          </w:tcPr>
          <w:p w:rsidR="0014739F" w:rsidRPr="008F4333" w:rsidRDefault="0014739F" w:rsidP="0066374C">
            <w:pPr>
              <w:widowControl/>
              <w:jc w:val="left"/>
              <w:rPr>
                <w:rFonts w:ascii="宋体" w:hAnsi="宋体"/>
                <w:i/>
                <w:iCs/>
                <w:color w:val="000000"/>
                <w:szCs w:val="21"/>
                <w:u w:val="single"/>
              </w:rPr>
            </w:pPr>
            <w:r w:rsidRPr="008F4333">
              <w:rPr>
                <w:rFonts w:ascii="宋体" w:hAnsi="宋体" w:hint="eastAsia"/>
                <w:i/>
                <w:iCs/>
                <w:color w:val="000000"/>
                <w:kern w:val="0"/>
                <w:szCs w:val="21"/>
                <w:u w:val="single"/>
              </w:rPr>
              <w:t>本次项目的目的是对我院的超融合平台资源进行扩容，所投产品必须兼容我院现有的超融合平台。所</w:t>
            </w:r>
            <w:r w:rsidRPr="008F4333">
              <w:rPr>
                <w:rFonts w:ascii="宋体" w:hAnsi="宋体" w:hint="eastAsia"/>
                <w:i/>
                <w:iCs/>
                <w:color w:val="000000"/>
                <w:szCs w:val="21"/>
                <w:u w:val="single"/>
              </w:rPr>
              <w:t>提供软件版本必须为永久授权，投标人提供承诺函并加盖公章</w:t>
            </w:r>
            <w:r w:rsidRPr="008F4333">
              <w:rPr>
                <w:rFonts w:ascii="宋体" w:hAnsi="宋体" w:hint="eastAsia"/>
                <w:i/>
                <w:iCs/>
                <w:color w:val="000000"/>
                <w:kern w:val="0"/>
                <w:szCs w:val="21"/>
                <w:u w:val="single"/>
              </w:rPr>
              <w:t>。</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医院扩容的基本要求</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安全性</w:t>
            </w:r>
          </w:p>
        </w:tc>
        <w:tc>
          <w:tcPr>
            <w:tcW w:w="851" w:type="dxa"/>
            <w:vAlign w:val="center"/>
          </w:tcPr>
          <w:p w:rsidR="0014739F" w:rsidRPr="008F4333" w:rsidRDefault="0014739F" w:rsidP="0066374C">
            <w:pPr>
              <w:widowControl/>
              <w:spacing w:line="360" w:lineRule="auto"/>
              <w:jc w:val="center"/>
              <w:rPr>
                <w:rFonts w:ascii="宋体" w:hAnsi="宋体"/>
                <w:color w:val="000000"/>
                <w:kern w:val="0"/>
                <w:szCs w:val="21"/>
              </w:rPr>
            </w:pPr>
            <w:r w:rsidRPr="008F4333">
              <w:rPr>
                <w:rFonts w:ascii="宋体" w:hAnsi="宋体" w:hint="eastAsia"/>
                <w:color w:val="000000"/>
                <w:szCs w:val="21"/>
              </w:rPr>
              <w:t>必须满足</w:t>
            </w:r>
          </w:p>
        </w:tc>
        <w:tc>
          <w:tcPr>
            <w:tcW w:w="3827" w:type="dxa"/>
          </w:tcPr>
          <w:p w:rsidR="0014739F" w:rsidRPr="008F4333" w:rsidRDefault="0014739F" w:rsidP="0066374C">
            <w:pPr>
              <w:widowControl/>
              <w:jc w:val="left"/>
              <w:rPr>
                <w:rFonts w:ascii="宋体" w:hAnsi="宋体"/>
                <w:i/>
                <w:iCs/>
                <w:color w:val="000000"/>
                <w:kern w:val="0"/>
                <w:szCs w:val="21"/>
                <w:u w:val="single"/>
              </w:rPr>
            </w:pPr>
            <w:r w:rsidRPr="008F4333">
              <w:rPr>
                <w:rFonts w:ascii="宋体" w:hAnsi="宋体" w:hint="eastAsia"/>
                <w:i/>
                <w:iCs/>
                <w:color w:val="000000"/>
                <w:szCs w:val="21"/>
                <w:u w:val="single"/>
              </w:rPr>
              <w:t>超融合必须为厂商提供的独立型号的一体化设备。不接受软硬件D</w:t>
            </w:r>
            <w:r w:rsidRPr="008F4333">
              <w:rPr>
                <w:rFonts w:ascii="宋体" w:hAnsi="宋体"/>
                <w:i/>
                <w:iCs/>
                <w:color w:val="000000"/>
                <w:szCs w:val="21"/>
                <w:u w:val="single"/>
              </w:rPr>
              <w:t>IY</w:t>
            </w:r>
            <w:r w:rsidRPr="008F4333">
              <w:rPr>
                <w:rFonts w:ascii="宋体" w:hAnsi="宋体" w:hint="eastAsia"/>
                <w:i/>
                <w:iCs/>
                <w:color w:val="000000"/>
                <w:szCs w:val="21"/>
                <w:u w:val="single"/>
              </w:rPr>
              <w:t>的方式实现，需提供专用型号的网站截图。</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医院对可靠性要求较高，且政策法规、等保测评对安全性也有要求。</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计算组件</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必须满足</w:t>
            </w:r>
          </w:p>
        </w:tc>
        <w:tc>
          <w:tcPr>
            <w:tcW w:w="3827" w:type="dxa"/>
          </w:tcPr>
          <w:p w:rsidR="0014739F" w:rsidRPr="008F4333" w:rsidRDefault="0014739F" w:rsidP="0066374C">
            <w:pPr>
              <w:widowControl/>
              <w:jc w:val="left"/>
              <w:rPr>
                <w:rFonts w:ascii="宋体" w:hAnsi="宋体"/>
                <w:i/>
                <w:iCs/>
                <w:color w:val="000000"/>
                <w:szCs w:val="21"/>
                <w:u w:val="single"/>
              </w:rPr>
            </w:pPr>
            <w:r w:rsidRPr="008F4333">
              <w:rPr>
                <w:rFonts w:ascii="宋体" w:hAnsi="宋体" w:hint="eastAsia"/>
                <w:i/>
                <w:iCs/>
                <w:color w:val="000000"/>
                <w:szCs w:val="21"/>
                <w:u w:val="single"/>
              </w:rPr>
              <w:t>配置≥2颗Intel Gold 5318Y或核心≥</w:t>
            </w:r>
            <w:r w:rsidRPr="008F4333">
              <w:rPr>
                <w:rFonts w:ascii="宋体" w:hAnsi="宋体"/>
                <w:i/>
                <w:iCs/>
                <w:color w:val="000000"/>
                <w:szCs w:val="21"/>
                <w:u w:val="single"/>
              </w:rPr>
              <w:t>24</w:t>
            </w:r>
            <w:r w:rsidRPr="008F4333">
              <w:rPr>
                <w:rFonts w:ascii="宋体" w:hAnsi="宋体" w:hint="eastAsia"/>
                <w:i/>
                <w:iCs/>
                <w:color w:val="000000"/>
                <w:szCs w:val="21"/>
                <w:u w:val="single"/>
              </w:rPr>
              <w:t>个且默认频率≥2.</w:t>
            </w:r>
            <w:r w:rsidRPr="008F4333">
              <w:rPr>
                <w:rFonts w:ascii="宋体" w:hAnsi="宋体"/>
                <w:i/>
                <w:iCs/>
                <w:color w:val="000000"/>
                <w:szCs w:val="21"/>
                <w:u w:val="single"/>
              </w:rPr>
              <w:t>1</w:t>
            </w:r>
            <w:r w:rsidRPr="008F4333">
              <w:rPr>
                <w:rFonts w:ascii="宋体" w:hAnsi="宋体" w:hint="eastAsia"/>
                <w:i/>
                <w:iCs/>
                <w:color w:val="000000"/>
                <w:szCs w:val="21"/>
                <w:u w:val="single"/>
              </w:rPr>
              <w:t>Ghz的Intel中央处理器，支持≥</w:t>
            </w:r>
            <w:r w:rsidRPr="008F4333">
              <w:rPr>
                <w:rFonts w:ascii="宋体" w:hAnsi="宋体"/>
                <w:i/>
                <w:iCs/>
                <w:color w:val="000000"/>
                <w:szCs w:val="21"/>
                <w:u w:val="single"/>
              </w:rPr>
              <w:t>32</w:t>
            </w:r>
            <w:r w:rsidRPr="008F4333">
              <w:rPr>
                <w:rFonts w:ascii="宋体" w:hAnsi="宋体" w:hint="eastAsia"/>
                <w:i/>
                <w:iCs/>
                <w:color w:val="000000"/>
                <w:szCs w:val="21"/>
                <w:u w:val="single"/>
              </w:rPr>
              <w:t>个内存插槽，本次配置≥</w:t>
            </w:r>
            <w:r w:rsidRPr="008F4333">
              <w:rPr>
                <w:rFonts w:ascii="宋体" w:hAnsi="宋体"/>
                <w:i/>
                <w:iCs/>
                <w:color w:val="000000"/>
                <w:szCs w:val="21"/>
                <w:u w:val="single"/>
              </w:rPr>
              <w:t>512</w:t>
            </w:r>
            <w:r w:rsidRPr="008F4333">
              <w:rPr>
                <w:rFonts w:ascii="宋体" w:hAnsi="宋体" w:hint="eastAsia"/>
                <w:i/>
                <w:iCs/>
                <w:color w:val="000000"/>
                <w:szCs w:val="21"/>
                <w:u w:val="single"/>
              </w:rPr>
              <w:t>GB内存。</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基本配置要求，必须满足。</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存储组件</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必须满足</w:t>
            </w:r>
          </w:p>
        </w:tc>
        <w:tc>
          <w:tcPr>
            <w:tcW w:w="3827" w:type="dxa"/>
          </w:tcPr>
          <w:p w:rsidR="0014739F" w:rsidRPr="008F4333" w:rsidRDefault="0014739F" w:rsidP="0066374C">
            <w:pPr>
              <w:widowControl/>
              <w:jc w:val="left"/>
              <w:rPr>
                <w:rFonts w:ascii="宋体" w:hAnsi="宋体"/>
                <w:i/>
                <w:iCs/>
                <w:color w:val="000000"/>
                <w:szCs w:val="21"/>
                <w:u w:val="single"/>
              </w:rPr>
            </w:pPr>
            <w:r w:rsidRPr="008F4333">
              <w:rPr>
                <w:rFonts w:ascii="宋体" w:hAnsi="宋体" w:hint="eastAsia"/>
                <w:i/>
                <w:iCs/>
                <w:color w:val="000000"/>
                <w:szCs w:val="21"/>
                <w:u w:val="single"/>
              </w:rPr>
              <w:t>支持≥2</w:t>
            </w:r>
            <w:r w:rsidRPr="008F4333">
              <w:rPr>
                <w:rFonts w:ascii="宋体" w:hAnsi="宋体"/>
                <w:i/>
                <w:iCs/>
                <w:color w:val="000000"/>
                <w:szCs w:val="21"/>
                <w:u w:val="single"/>
              </w:rPr>
              <w:t>8</w:t>
            </w:r>
            <w:r w:rsidRPr="008F4333">
              <w:rPr>
                <w:rFonts w:ascii="宋体" w:hAnsi="宋体" w:hint="eastAsia"/>
                <w:i/>
                <w:iCs/>
                <w:color w:val="000000"/>
                <w:szCs w:val="21"/>
                <w:u w:val="single"/>
              </w:rPr>
              <w:t>个磁盘槽位，支持≥4块SAS/NVMe固态盘作为读写缓存空间；本次配置≥</w:t>
            </w:r>
            <w:r w:rsidRPr="008F4333">
              <w:rPr>
                <w:rFonts w:ascii="宋体" w:hAnsi="宋体"/>
                <w:i/>
                <w:iCs/>
                <w:color w:val="000000"/>
                <w:szCs w:val="21"/>
                <w:u w:val="single"/>
              </w:rPr>
              <w:t>2</w:t>
            </w:r>
            <w:r w:rsidRPr="008F4333">
              <w:rPr>
                <w:rFonts w:ascii="宋体" w:hAnsi="宋体" w:hint="eastAsia"/>
                <w:i/>
                <w:iCs/>
                <w:color w:val="000000"/>
                <w:szCs w:val="21"/>
                <w:u w:val="single"/>
              </w:rPr>
              <w:t>块</w:t>
            </w:r>
            <w:r w:rsidRPr="008F4333">
              <w:rPr>
                <w:rFonts w:ascii="宋体" w:hAnsi="宋体"/>
                <w:i/>
                <w:iCs/>
                <w:color w:val="000000"/>
                <w:szCs w:val="21"/>
                <w:u w:val="single"/>
              </w:rPr>
              <w:t>8</w:t>
            </w:r>
            <w:r w:rsidRPr="008F4333">
              <w:rPr>
                <w:rFonts w:ascii="宋体" w:hAnsi="宋体" w:hint="eastAsia"/>
                <w:i/>
                <w:iCs/>
                <w:color w:val="000000"/>
                <w:szCs w:val="21"/>
                <w:u w:val="single"/>
              </w:rPr>
              <w:t>00GB固态盘作为读写缓存空间，不接受SATA固态盘作为读写缓存空间；配置≥8块3.84TB固态盘作为存储容量空间；</w:t>
            </w:r>
          </w:p>
          <w:p w:rsidR="0014739F" w:rsidRPr="008F4333" w:rsidRDefault="0014739F" w:rsidP="0066374C">
            <w:pPr>
              <w:widowControl/>
              <w:jc w:val="left"/>
              <w:rPr>
                <w:rFonts w:ascii="宋体" w:hAnsi="宋体"/>
                <w:i/>
                <w:iCs/>
                <w:color w:val="000000"/>
                <w:szCs w:val="21"/>
                <w:u w:val="single"/>
              </w:rPr>
            </w:pPr>
          </w:p>
          <w:p w:rsidR="0014739F" w:rsidRPr="008F4333" w:rsidRDefault="0014739F" w:rsidP="0066374C">
            <w:pPr>
              <w:widowControl/>
              <w:jc w:val="left"/>
              <w:rPr>
                <w:rFonts w:ascii="宋体" w:hAnsi="宋体"/>
                <w:i/>
                <w:iCs/>
                <w:color w:val="000000"/>
                <w:szCs w:val="21"/>
                <w:u w:val="single"/>
              </w:rPr>
            </w:pPr>
            <w:r w:rsidRPr="008F4333">
              <w:rPr>
                <w:rFonts w:ascii="宋体" w:hAnsi="宋体" w:hint="eastAsia"/>
                <w:i/>
                <w:iCs/>
                <w:color w:val="000000"/>
                <w:szCs w:val="21"/>
                <w:u w:val="single"/>
              </w:rPr>
              <w:t>配置≥2块</w:t>
            </w:r>
            <w:r w:rsidRPr="008F4333">
              <w:rPr>
                <w:rFonts w:ascii="宋体" w:hAnsi="宋体"/>
                <w:i/>
                <w:iCs/>
                <w:color w:val="000000"/>
                <w:szCs w:val="21"/>
                <w:u w:val="single"/>
              </w:rPr>
              <w:t>48</w:t>
            </w:r>
            <w:r w:rsidRPr="008F4333">
              <w:rPr>
                <w:rFonts w:ascii="宋体" w:hAnsi="宋体" w:hint="eastAsia"/>
                <w:i/>
                <w:iCs/>
                <w:color w:val="000000"/>
                <w:szCs w:val="21"/>
                <w:u w:val="single"/>
              </w:rPr>
              <w:t>0GB 固态硬盘作镜像，安装虚拟化系统盘使用，保证可靠性</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基本配置要求，且为了适应医院未来业务的发展要求，必须满足。</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网络组件</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支持≥8个万兆网口，支持25GbE网口；本次配置≥4个2</w:t>
            </w:r>
            <w:r w:rsidRPr="008F4333">
              <w:rPr>
                <w:rFonts w:ascii="宋体" w:hAnsi="宋体"/>
                <w:color w:val="000000"/>
                <w:szCs w:val="21"/>
              </w:rPr>
              <w:t>5Gb</w:t>
            </w:r>
            <w:r w:rsidRPr="008F4333">
              <w:rPr>
                <w:rFonts w:ascii="宋体" w:hAnsi="宋体" w:hint="eastAsia"/>
                <w:color w:val="000000"/>
                <w:szCs w:val="21"/>
              </w:rPr>
              <w:t>以太网络端口（含SFP+模块）；并配置≥1个千兆以太网络作为管理使用</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对象存储支持</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持以Kubernates容器集群为基础实现对象存储的分配与扩展，利用 Kubernetes 本身的编排功能，包括调</w:t>
            </w:r>
            <w:r w:rsidRPr="008F4333">
              <w:rPr>
                <w:rFonts w:ascii="宋体" w:hAnsi="宋体" w:hint="eastAsia"/>
                <w:color w:val="000000"/>
                <w:szCs w:val="21"/>
              </w:rPr>
              <w:lastRenderedPageBreak/>
              <w:t>度、自动扩展、负载平衡和自我修复，以及引入有助于加速事件驱动型服务和地理分布式软件架构的新功能，支持现代 S3 接口和工作负载，如人工智能、分析和媒体内容。</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带内网络管理</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kern w:val="0"/>
                <w:szCs w:val="21"/>
              </w:rPr>
              <w:t>▲</w:t>
            </w: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实现在超融合管理界面上直接管理交换机系统，可以在超融合管理界面实现对交换机的监控与配置，划分VLAN与配置端口状态，实现网络拓扑以管理交换机系统与超融合节点的链接状态，提供超融合一体机系统管理界面对物理交换机的监控、端口管理、UpLink状态监控和交换机拓扑树的截图。</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 xml:space="preserve">由于医院业务应用较多，需要对每个应用的虚拟机设置存储网络，确保安全并最大化利用网络资源。 </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分布式文件系统</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通过软件方式自动将本计算存储一体化服务器及其它计算存储一体化服务器中的所有节点的本地闪盘或磁盘空间整合成一个整体存储空间提供给虚拟化软件使用（实现传统架构中集中存储的功能），单节点故障时不会影响整个存储空间的使用且数据不会发生错误或丢失。</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部署架构</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w:t>
            </w: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存储虚拟化与计算虚拟化结合，不需要为分布式存储单独安装部署控制虚拟机。</w:t>
            </w:r>
            <w:r w:rsidRPr="008F4333">
              <w:rPr>
                <w:rFonts w:ascii="宋体" w:hAnsi="宋体" w:cs="宋体" w:hint="eastAsia"/>
                <w:bCs/>
                <w:color w:val="000000"/>
                <w:kern w:val="0"/>
                <w:szCs w:val="21"/>
              </w:rPr>
              <w:t>（</w:t>
            </w:r>
            <w:r w:rsidRPr="008F4333">
              <w:rPr>
                <w:rFonts w:ascii="宋体" w:hAnsi="宋体" w:cs="宋体" w:hint="eastAsia"/>
                <w:color w:val="000000"/>
                <w:kern w:val="0"/>
                <w:szCs w:val="21"/>
              </w:rPr>
              <w:t>需提供相关证明材料</w:t>
            </w:r>
            <w:r w:rsidRPr="008F4333">
              <w:rPr>
                <w:rFonts w:ascii="宋体" w:hAnsi="宋体" w:cs="宋体" w:hint="eastAsia"/>
                <w:bCs/>
                <w:color w:val="000000"/>
                <w:kern w:val="0"/>
                <w:szCs w:val="21"/>
              </w:rPr>
              <w:t>）</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确保医院能够充分将超融合资源应用于业务系统，并且保证整个系统的稳定。</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存储功能</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要求单一超融合分布式集群内可以为Hypervisor提供Datastore。</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存储策略</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提供基于存储策略的管理机制，如：</w:t>
            </w:r>
          </w:p>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每个对象保存镜像份数，每个对象的条带宽度，每个对象预留读写缓存空间，每个对象IOPS服务限制QoS，每个对象是否强制置备，每个对象空间预留，每个对象是否校验和等；</w:t>
            </w:r>
          </w:p>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并可以通过变更存储策略可在线动态调整业务应用正在使用的存储资源。</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策略粒度</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根据业务应用的需求，可以以每一个虚拟机磁盘VMDK粒度定义存储策略，而不是只能以Datastore或卷粒度。</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数据保护模式</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w:t>
            </w: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多数据副本，可以实现数据保留2份或者3份或者4份，对于同一个虚拟机，可以为不同VMDK虚拟磁盘配置不同副本份数，充分保护数据，当发生硬件失效时不会影响数据正常访问；不使用传统的Raid技术保护数据，避免由于磁盘</w:t>
            </w:r>
            <w:r w:rsidRPr="008F4333">
              <w:rPr>
                <w:rFonts w:ascii="宋体" w:hAnsi="宋体" w:hint="eastAsia"/>
                <w:color w:val="000000"/>
                <w:szCs w:val="21"/>
              </w:rPr>
              <w:lastRenderedPageBreak/>
              <w:t>故障导致漫长的数据重建过程和整个Raid组性能降级，从而影响业务正常运行。</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lastRenderedPageBreak/>
              <w:t>由于医院业务应用较多，需要对每个应用的虚拟机设置存储策略，确保安全并最大化利用系统资源。</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数据高级功能</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rPr>
                <w:color w:val="000000"/>
              </w:rPr>
            </w:pPr>
            <w:r w:rsidRPr="008F4333">
              <w:rPr>
                <w:rFonts w:hint="eastAsia"/>
                <w:color w:val="000000"/>
              </w:rPr>
              <w:t>配置去重与压缩功能，配置纠删码（</w:t>
            </w:r>
            <w:r w:rsidRPr="008F4333">
              <w:rPr>
                <w:rFonts w:hint="eastAsia"/>
                <w:color w:val="000000"/>
              </w:rPr>
              <w:t>Erasure Coding</w:t>
            </w:r>
            <w:r w:rsidRPr="008F4333">
              <w:rPr>
                <w:rFonts w:hint="eastAsia"/>
                <w:color w:val="000000"/>
              </w:rPr>
              <w:t>）功能，支持软件校验和（</w:t>
            </w:r>
            <w:r w:rsidRPr="008F4333">
              <w:rPr>
                <w:rFonts w:hint="eastAsia"/>
                <w:color w:val="000000"/>
              </w:rPr>
              <w:t>Software Checksum</w:t>
            </w:r>
            <w:r w:rsidRPr="008F4333">
              <w:rPr>
                <w:rFonts w:hint="eastAsia"/>
                <w:color w:val="000000"/>
              </w:rPr>
              <w:t>），支持精简配置功能（</w:t>
            </w:r>
            <w:r w:rsidRPr="008F4333">
              <w:rPr>
                <w:rFonts w:hint="eastAsia"/>
                <w:color w:val="000000"/>
              </w:rPr>
              <w:t>Thin Provisioning</w:t>
            </w:r>
            <w:r w:rsidRPr="008F4333">
              <w:rPr>
                <w:rFonts w:hint="eastAsia"/>
                <w:color w:val="000000"/>
              </w:rPr>
              <w:t>）。</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应用扩展</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w:t>
            </w: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支持本院HIS数据库集群技术，支持MS WSFC集群技术，支持Splunk。</w:t>
            </w:r>
            <w:r w:rsidRPr="008F4333">
              <w:rPr>
                <w:rFonts w:ascii="宋体" w:hAnsi="宋体" w:cs="宋体" w:hint="eastAsia"/>
                <w:bCs/>
                <w:color w:val="000000"/>
                <w:kern w:val="0"/>
                <w:szCs w:val="21"/>
              </w:rPr>
              <w:t>（</w:t>
            </w:r>
            <w:r w:rsidRPr="008F4333">
              <w:rPr>
                <w:rFonts w:ascii="宋体" w:hAnsi="宋体" w:cs="宋体" w:hint="eastAsia"/>
                <w:color w:val="000000"/>
                <w:kern w:val="0"/>
                <w:szCs w:val="21"/>
              </w:rPr>
              <w:t>需提供相关证明材料</w:t>
            </w:r>
            <w:r w:rsidRPr="008F4333">
              <w:rPr>
                <w:rFonts w:ascii="宋体" w:hAnsi="宋体" w:cs="宋体" w:hint="eastAsia"/>
                <w:bCs/>
                <w:color w:val="000000"/>
                <w:kern w:val="0"/>
                <w:szCs w:val="21"/>
              </w:rPr>
              <w:t>）</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基本要求，必须满足</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横向扩展性</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自动发现新增节点，自动将新节点加入现有存储集群，不中断业务正常运行；可以按需平滑扩展到50个节点以上；支持完全在线的一键式减少节点；不接受仅某些型号的节点支持计算和存储超融合，而其它型号的节点仅支持计算或仅支持存储，以避免将来扩展时受到节点型号的限制。</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维护管理</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通过统一管理软件进行日常维护管理，能看到所有虚拟机磁盘文件IO性能和整个集群中CPU、内存使用情况；可以和现有监控系统整合，并且支持多种告警方式，包括邮件告警等；提供API、SDK等接口方便进行定制开发和第三方接口。</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系统管理</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支持Web界面方式进行管理，可在同一界面管理计算和存储资源，既可以完成虚拟机例如创建/快照/开关机/删除功能，虚拟化集群创建/虚拟交换机配置,分布式存储定义策略/管理磁盘组。</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主动支持</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支持主动支持，任何故障都可以通过集成的主动支持服务，自动发送告警至原厂售后技术支持中心，获得第一时间的及时支持。</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自动故障切换</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提供故障切换能力，当组件自身故障或者需要进行补丁更新时，不影响整个集群正常运行，保证业务连续性。</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一键升级</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通过一个安装包实现超融合系统、虚拟化管理软件、SSD/HDD磁盘固件、服务器节点BIOS/BMC固件一键式统一升级，提供集群健康检查软件，升级过程对业务透明，不影响整个集群正常运行，保证业务连续性。提供升级过程的盖章文件。提供升级视频备查。</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智能分析</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配置日志分析软件，收集和分析超融合系统生成的所有类型的日志数据，如应用日志、网络跟踪、配置文件、消息、性能数据、系统状态等；</w:t>
            </w:r>
          </w:p>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提供一个基于 GUI的直观界面,易于运行交互式搜索和深度分析查询,以获得快速、切实可行的深入见解；</w:t>
            </w:r>
          </w:p>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支持多种图形统计视图，包括但不限于柱状图、线图、堆栈图、多种颜色类别的综合示意图；</w:t>
            </w:r>
          </w:p>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支持多个关键词的聚合查询，即根据关键字逐渐缩小查询范围。</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连续数据保护</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w:t>
            </w:r>
          </w:p>
        </w:tc>
        <w:tc>
          <w:tcPr>
            <w:tcW w:w="3827" w:type="dxa"/>
          </w:tcPr>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为了医院评级、等保等要求，必须配置并支持虚拟机连续性数据保护功能，实现虚拟机秒级IO记录和恢复级别，实现虚拟机逻辑性灾备；可进行生产虚拟机与备份虚拟机的切换，可进行备份虚拟机的多副本验证。每台超融合设置至少支持5个虚拟机保护授权；</w:t>
            </w:r>
          </w:p>
          <w:p w:rsidR="0014739F" w:rsidRPr="008F4333" w:rsidRDefault="0014739F" w:rsidP="0066374C">
            <w:pPr>
              <w:pStyle w:val="a3"/>
              <w:rPr>
                <w:rFonts w:ascii="宋体" w:hAnsi="宋体"/>
                <w:color w:val="000000"/>
                <w:sz w:val="21"/>
                <w:szCs w:val="21"/>
              </w:rPr>
            </w:pPr>
            <w:r w:rsidRPr="008F4333">
              <w:rPr>
                <w:rFonts w:ascii="宋体" w:hAnsi="宋体" w:hint="eastAsia"/>
                <w:color w:val="000000"/>
                <w:sz w:val="21"/>
                <w:szCs w:val="21"/>
              </w:rPr>
              <w:t>数据保护软件必须同属于超融合设备的厂商产品，非OEM产品。</w:t>
            </w:r>
          </w:p>
          <w:p w:rsidR="0014739F" w:rsidRPr="008F4333" w:rsidRDefault="0014739F" w:rsidP="0066374C">
            <w:pPr>
              <w:pStyle w:val="a3"/>
              <w:rPr>
                <w:rFonts w:ascii="宋体" w:hAnsi="宋体"/>
                <w:color w:val="000000"/>
                <w:sz w:val="21"/>
                <w:szCs w:val="21"/>
              </w:rPr>
            </w:pPr>
            <w:r w:rsidRPr="008F4333">
              <w:rPr>
                <w:rFonts w:ascii="宋体" w:hAnsi="宋体" w:cs="宋体" w:hint="eastAsia"/>
                <w:bCs/>
                <w:color w:val="000000"/>
                <w:sz w:val="21"/>
                <w:szCs w:val="21"/>
              </w:rPr>
              <w:t>（</w:t>
            </w:r>
            <w:r w:rsidRPr="008F4333">
              <w:rPr>
                <w:rFonts w:ascii="宋体" w:hAnsi="宋体" w:cs="宋体" w:hint="eastAsia"/>
                <w:color w:val="000000"/>
                <w:sz w:val="21"/>
                <w:szCs w:val="21"/>
              </w:rPr>
              <w:t>需提供相关证明材料</w:t>
            </w:r>
            <w:r w:rsidRPr="008F4333">
              <w:rPr>
                <w:rFonts w:ascii="宋体" w:hAnsi="宋体" w:cs="宋体" w:hint="eastAsia"/>
                <w:bCs/>
                <w:color w:val="000000"/>
                <w:sz w:val="21"/>
                <w:szCs w:val="21"/>
              </w:rPr>
              <w:t>）</w:t>
            </w:r>
          </w:p>
        </w:tc>
        <w:tc>
          <w:tcPr>
            <w:tcW w:w="1843" w:type="dxa"/>
            <w:vAlign w:val="center"/>
          </w:tcPr>
          <w:p w:rsidR="0014739F" w:rsidRPr="008F4333" w:rsidRDefault="0014739F" w:rsidP="0066374C">
            <w:pPr>
              <w:widowControl/>
              <w:jc w:val="left"/>
              <w:rPr>
                <w:rFonts w:ascii="宋体" w:hAnsi="宋体"/>
                <w:color w:val="000000"/>
              </w:rPr>
            </w:pPr>
            <w:r w:rsidRPr="008F4333">
              <w:rPr>
                <w:rFonts w:ascii="宋体" w:hAnsi="宋体" w:hint="eastAsia"/>
                <w:color w:val="000000"/>
              </w:rPr>
              <w:t>医院评级、等保的基本要求。</w:t>
            </w: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备份验证</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支持备份立即验证功能，可以将备份的虚拟机文件立即在备份设备上启动验证备份正确性，无需先将备份虚拟机文件先恢复再验证。</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公有云支持</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配置并支持云端数据迁移软件≥10TB软件许可，支持Amazon AWS、微软Azure和Google等公有云。</w:t>
            </w:r>
          </w:p>
        </w:tc>
        <w:tc>
          <w:tcPr>
            <w:tcW w:w="1843" w:type="dxa"/>
            <w:vAlign w:val="center"/>
          </w:tcPr>
          <w:p w:rsidR="0014739F" w:rsidRPr="008F4333" w:rsidRDefault="0014739F" w:rsidP="0066374C">
            <w:pPr>
              <w:widowControl/>
              <w:jc w:val="left"/>
              <w:rPr>
                <w:rFonts w:ascii="宋体" w:hAnsi="宋体"/>
                <w:color w:val="000000"/>
              </w:rPr>
            </w:pPr>
          </w:p>
        </w:tc>
      </w:tr>
      <w:tr w:rsidR="0014739F" w:rsidRPr="008F4333" w:rsidTr="0066374C">
        <w:trPr>
          <w:trHeight w:val="70"/>
        </w:trPr>
        <w:tc>
          <w:tcPr>
            <w:tcW w:w="675" w:type="dxa"/>
            <w:vAlign w:val="center"/>
          </w:tcPr>
          <w:p w:rsidR="0014739F" w:rsidRPr="008F4333" w:rsidRDefault="0014739F" w:rsidP="0066374C">
            <w:pPr>
              <w:numPr>
                <w:ilvl w:val="0"/>
                <w:numId w:val="1"/>
              </w:numPr>
              <w:jc w:val="center"/>
              <w:rPr>
                <w:rFonts w:ascii="宋体" w:hAnsi="宋体"/>
                <w:color w:val="000000"/>
                <w:szCs w:val="21"/>
              </w:rPr>
            </w:pP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售后服务</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p>
        </w:tc>
        <w:tc>
          <w:tcPr>
            <w:tcW w:w="3827" w:type="dxa"/>
          </w:tcPr>
          <w:p w:rsidR="0014739F" w:rsidRPr="008F4333" w:rsidRDefault="0014739F" w:rsidP="0066374C">
            <w:pPr>
              <w:widowControl/>
              <w:jc w:val="left"/>
              <w:rPr>
                <w:rFonts w:ascii="宋体" w:hAnsi="宋体"/>
                <w:color w:val="000000"/>
                <w:szCs w:val="21"/>
              </w:rPr>
            </w:pPr>
            <w:r w:rsidRPr="008F4333">
              <w:rPr>
                <w:rFonts w:ascii="宋体" w:hAnsi="宋体" w:hint="eastAsia"/>
                <w:color w:val="000000"/>
                <w:szCs w:val="21"/>
              </w:rPr>
              <w:t>为保证软件产品质量、可靠性、合法性，支持提供原厂商软件升级服务、在线支持服务、800电话支持服务。</w:t>
            </w:r>
          </w:p>
        </w:tc>
        <w:tc>
          <w:tcPr>
            <w:tcW w:w="1843" w:type="dxa"/>
            <w:vAlign w:val="center"/>
          </w:tcPr>
          <w:p w:rsidR="0014739F" w:rsidRPr="008F4333" w:rsidRDefault="0014739F" w:rsidP="0066374C">
            <w:pPr>
              <w:widowControl/>
              <w:jc w:val="left"/>
              <w:rPr>
                <w:rFonts w:ascii="宋体" w:hAnsi="宋体"/>
                <w:color w:val="000000"/>
              </w:rPr>
            </w:pPr>
          </w:p>
        </w:tc>
      </w:tr>
    </w:tbl>
    <w:p w:rsidR="0014739F" w:rsidRPr="008F4333" w:rsidRDefault="0014739F" w:rsidP="0014739F">
      <w:pPr>
        <w:spacing w:line="360" w:lineRule="auto"/>
        <w:ind w:firstLine="413"/>
        <w:outlineLvl w:val="0"/>
        <w:rPr>
          <w:rFonts w:ascii="宋体" w:hAnsi="宋体" w:hint="eastAsia"/>
          <w:color w:val="000000"/>
        </w:rPr>
      </w:pPr>
    </w:p>
    <w:p w:rsidR="0014739F" w:rsidRPr="008F4333" w:rsidRDefault="0014739F" w:rsidP="0014739F">
      <w:pPr>
        <w:spacing w:line="360" w:lineRule="auto"/>
        <w:ind w:firstLine="413"/>
        <w:outlineLvl w:val="0"/>
        <w:rPr>
          <w:rFonts w:ascii="宋体" w:hAnsi="宋体"/>
          <w:color w:val="000000"/>
        </w:rPr>
      </w:pPr>
      <w:r w:rsidRPr="008F4333">
        <w:rPr>
          <w:rFonts w:ascii="宋体" w:hAnsi="宋体"/>
          <w:color w:val="000000"/>
        </w:rPr>
        <w:t>2</w:t>
      </w:r>
      <w:r w:rsidRPr="008F4333">
        <w:rPr>
          <w:rFonts w:ascii="宋体" w:hAnsi="宋体" w:hint="eastAsia"/>
          <w:color w:val="000000"/>
        </w:rPr>
        <w:t>.</w:t>
      </w:r>
      <w:r w:rsidRPr="008F4333">
        <w:rPr>
          <w:rFonts w:ascii="宋体" w:hAnsi="宋体" w:hint="eastAsia"/>
          <w:color w:val="000000"/>
          <w:u w:val="single"/>
        </w:rPr>
        <w:t xml:space="preserve"> 2</w:t>
      </w:r>
      <w:r w:rsidRPr="008F4333">
        <w:rPr>
          <w:rFonts w:ascii="宋体" w:hAnsi="宋体"/>
          <w:color w:val="000000"/>
          <w:u w:val="single"/>
        </w:rPr>
        <w:t>5G</w:t>
      </w:r>
      <w:r w:rsidRPr="008F4333">
        <w:rPr>
          <w:rFonts w:ascii="宋体" w:hAnsi="宋体" w:hint="eastAsia"/>
          <w:color w:val="000000"/>
          <w:u w:val="single"/>
        </w:rPr>
        <w:t>交换机</w:t>
      </w:r>
      <w:r w:rsidRPr="008F4333">
        <w:rPr>
          <w:rFonts w:ascii="宋体" w:hAnsi="宋体" w:hint="eastAsia"/>
          <w:color w:val="000000"/>
        </w:rPr>
        <w:t>（</w:t>
      </w:r>
      <w:r w:rsidRPr="008F4333">
        <w:rPr>
          <w:rFonts w:ascii="宋体" w:hAnsi="宋体" w:hint="eastAsia"/>
          <w:color w:val="000000"/>
          <w:u w:val="single"/>
        </w:rPr>
        <w:t xml:space="preserve"> </w:t>
      </w:r>
      <w:r w:rsidRPr="008F4333">
        <w:rPr>
          <w:rFonts w:ascii="宋体" w:hAnsi="宋体"/>
          <w:color w:val="000000"/>
          <w:u w:val="single"/>
        </w:rPr>
        <w:t>2</w:t>
      </w:r>
      <w:r w:rsidRPr="008F4333">
        <w:rPr>
          <w:rFonts w:ascii="宋体" w:hAnsi="宋体" w:hint="eastAsia"/>
          <w:color w:val="000000"/>
          <w:u w:val="single"/>
        </w:rPr>
        <w:t xml:space="preserve"> </w:t>
      </w:r>
      <w:r w:rsidRPr="008F4333">
        <w:rPr>
          <w:rFonts w:ascii="宋体" w:hAnsi="宋体" w:hint="eastAsia"/>
          <w:color w:val="000000"/>
        </w:rPr>
        <w:t>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851"/>
        <w:gridCol w:w="3402"/>
        <w:gridCol w:w="2268"/>
      </w:tblGrid>
      <w:tr w:rsidR="0014739F" w:rsidRPr="008F4333" w:rsidTr="0066374C">
        <w:trPr>
          <w:trHeight w:val="70"/>
        </w:trPr>
        <w:tc>
          <w:tcPr>
            <w:tcW w:w="675" w:type="dxa"/>
            <w:vAlign w:val="center"/>
          </w:tcPr>
          <w:p w:rsidR="0014739F" w:rsidRPr="008F4333" w:rsidRDefault="0014739F" w:rsidP="0066374C">
            <w:pPr>
              <w:jc w:val="center"/>
              <w:rPr>
                <w:rFonts w:ascii="宋体" w:hAnsi="宋体"/>
                <w:color w:val="000000"/>
                <w:szCs w:val="21"/>
              </w:rPr>
            </w:pPr>
            <w:r w:rsidRPr="008F4333">
              <w:rPr>
                <w:rFonts w:ascii="宋体" w:hAnsi="宋体" w:hint="eastAsia"/>
                <w:color w:val="000000"/>
                <w:szCs w:val="21"/>
              </w:rPr>
              <w:t>序号</w:t>
            </w:r>
          </w:p>
        </w:tc>
        <w:tc>
          <w:tcPr>
            <w:tcW w:w="1276" w:type="dxa"/>
            <w:vAlign w:val="center"/>
          </w:tcPr>
          <w:p w:rsidR="0014739F" w:rsidRPr="008F4333" w:rsidRDefault="0014739F" w:rsidP="0066374C">
            <w:pPr>
              <w:widowControl/>
              <w:jc w:val="center"/>
              <w:rPr>
                <w:rFonts w:ascii="宋体" w:hAnsi="宋体"/>
                <w:color w:val="000000"/>
                <w:szCs w:val="21"/>
              </w:rPr>
            </w:pPr>
            <w:r w:rsidRPr="008F4333">
              <w:rPr>
                <w:rFonts w:ascii="宋体" w:hAnsi="宋体" w:hint="eastAsia"/>
                <w:color w:val="000000"/>
                <w:szCs w:val="21"/>
              </w:rPr>
              <w:t>指标项</w:t>
            </w:r>
          </w:p>
        </w:tc>
        <w:tc>
          <w:tcPr>
            <w:tcW w:w="851"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重要性</w:t>
            </w:r>
          </w:p>
        </w:tc>
        <w:tc>
          <w:tcPr>
            <w:tcW w:w="3402"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指标要求</w:t>
            </w:r>
          </w:p>
        </w:tc>
        <w:tc>
          <w:tcPr>
            <w:tcW w:w="2268" w:type="dxa"/>
            <w:vAlign w:val="center"/>
          </w:tcPr>
          <w:p w:rsidR="0014739F" w:rsidRPr="008F4333" w:rsidRDefault="0014739F" w:rsidP="0066374C">
            <w:pPr>
              <w:widowControl/>
              <w:spacing w:line="360" w:lineRule="auto"/>
              <w:jc w:val="center"/>
              <w:rPr>
                <w:rFonts w:ascii="宋体" w:hAnsi="宋体"/>
                <w:color w:val="000000"/>
                <w:szCs w:val="21"/>
              </w:rPr>
            </w:pPr>
            <w:r w:rsidRPr="008F4333">
              <w:rPr>
                <w:rFonts w:ascii="宋体" w:hAnsi="宋体" w:hint="eastAsia"/>
                <w:color w:val="000000"/>
                <w:szCs w:val="21"/>
              </w:rPr>
              <w:t>关键指标理由</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spacing w:line="360" w:lineRule="auto"/>
              <w:jc w:val="center"/>
              <w:rPr>
                <w:rFonts w:ascii="宋体" w:hAnsi="宋体" w:cs="宋体" w:hint="eastAsia"/>
                <w:i/>
                <w:color w:val="000000"/>
                <w:kern w:val="0"/>
                <w:szCs w:val="21"/>
                <w:u w:val="single"/>
              </w:rPr>
            </w:pPr>
            <w:r w:rsidRPr="008F4333">
              <w:rPr>
                <w:rFonts w:ascii="宋体" w:hAnsi="宋体" w:cs="宋体"/>
                <w:i/>
                <w:color w:val="000000"/>
                <w:kern w:val="0"/>
                <w:szCs w:val="21"/>
                <w:u w:val="single"/>
              </w:rPr>
              <w:t>整机性能</w:t>
            </w:r>
          </w:p>
        </w:tc>
        <w:tc>
          <w:tcPr>
            <w:tcW w:w="851" w:type="dxa"/>
            <w:vAlign w:val="center"/>
          </w:tcPr>
          <w:p w:rsidR="0014739F" w:rsidRPr="008F4333" w:rsidRDefault="0014739F" w:rsidP="0066374C">
            <w:pPr>
              <w:widowControl/>
              <w:spacing w:line="360" w:lineRule="auto"/>
              <w:jc w:val="center"/>
              <w:rPr>
                <w:rFonts w:ascii="宋体" w:hAnsi="宋体" w:cs="宋体" w:hint="eastAsia"/>
                <w:i/>
                <w:color w:val="000000"/>
                <w:kern w:val="0"/>
                <w:szCs w:val="21"/>
                <w:u w:val="single"/>
              </w:rPr>
            </w:pPr>
            <w:r w:rsidRPr="008F4333">
              <w:rPr>
                <w:rFonts w:ascii="宋体" w:hAnsi="宋体" w:cs="宋体" w:hint="eastAsia"/>
                <w:i/>
                <w:color w:val="000000"/>
                <w:kern w:val="0"/>
                <w:szCs w:val="21"/>
                <w:u w:val="single"/>
              </w:rPr>
              <w:t>必须满足</w:t>
            </w:r>
          </w:p>
        </w:tc>
        <w:tc>
          <w:tcPr>
            <w:tcW w:w="3402" w:type="dxa"/>
            <w:vAlign w:val="center"/>
          </w:tcPr>
          <w:p w:rsidR="0014739F" w:rsidRPr="008F4333" w:rsidRDefault="0014739F" w:rsidP="0066374C">
            <w:pPr>
              <w:widowControl/>
              <w:spacing w:line="360" w:lineRule="auto"/>
              <w:jc w:val="left"/>
              <w:rPr>
                <w:rFonts w:ascii="宋体" w:hAnsi="宋体"/>
                <w:i/>
                <w:color w:val="000000"/>
                <w:szCs w:val="21"/>
                <w:u w:val="single"/>
              </w:rPr>
            </w:pPr>
            <w:r w:rsidRPr="008F4333">
              <w:rPr>
                <w:rFonts w:ascii="宋体" w:hAnsi="宋体" w:cs="宋体" w:hint="eastAsia"/>
                <w:i/>
                <w:color w:val="000000"/>
                <w:kern w:val="0"/>
                <w:szCs w:val="21"/>
                <w:u w:val="single"/>
              </w:rPr>
              <w:t>交换容量≥</w:t>
            </w:r>
            <w:r w:rsidRPr="008F4333">
              <w:rPr>
                <w:rFonts w:ascii="宋体" w:hAnsi="宋体" w:cs="宋体"/>
                <w:i/>
                <w:color w:val="000000"/>
                <w:kern w:val="0"/>
                <w:szCs w:val="21"/>
                <w:u w:val="single"/>
              </w:rPr>
              <w:t>4.8Tbps</w:t>
            </w:r>
            <w:r w:rsidRPr="008F4333">
              <w:rPr>
                <w:rFonts w:ascii="宋体" w:hAnsi="宋体" w:cs="宋体" w:hint="eastAsia"/>
                <w:i/>
                <w:color w:val="000000"/>
                <w:kern w:val="0"/>
                <w:szCs w:val="21"/>
                <w:u w:val="single"/>
              </w:rPr>
              <w:t>，包转发能力≥</w:t>
            </w:r>
            <w:r w:rsidRPr="008F4333">
              <w:rPr>
                <w:rFonts w:ascii="宋体" w:hAnsi="宋体" w:cs="宋体"/>
                <w:i/>
                <w:color w:val="000000"/>
                <w:kern w:val="0"/>
                <w:szCs w:val="21"/>
                <w:u w:val="single"/>
              </w:rPr>
              <w:t>1800Mpps</w:t>
            </w:r>
            <w:r w:rsidRPr="008F4333">
              <w:rPr>
                <w:rFonts w:ascii="宋体" w:hAnsi="宋体" w:cs="宋体" w:hint="eastAsia"/>
                <w:i/>
                <w:color w:val="000000"/>
                <w:kern w:val="0"/>
                <w:szCs w:val="21"/>
                <w:u w:val="single"/>
              </w:rPr>
              <w:t xml:space="preserve"> (若有双参数，以最小参数为准)，提供官网截图证明。</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r w:rsidRPr="008F4333">
              <w:rPr>
                <w:rFonts w:ascii="宋体" w:hAnsi="宋体" w:hint="eastAsia"/>
                <w:color w:val="000000"/>
              </w:rPr>
              <w:t>基本要求，必须满足</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spacing w:line="360" w:lineRule="auto"/>
              <w:jc w:val="center"/>
              <w:rPr>
                <w:rFonts w:ascii="宋体" w:hAnsi="宋体" w:cs="宋体"/>
                <w:i/>
                <w:color w:val="000000"/>
                <w:kern w:val="0"/>
                <w:szCs w:val="21"/>
                <w:u w:val="single"/>
              </w:rPr>
            </w:pPr>
            <w:r w:rsidRPr="008F4333">
              <w:rPr>
                <w:rFonts w:ascii="宋体" w:hAnsi="宋体" w:cs="宋体" w:hint="eastAsia"/>
                <w:i/>
                <w:color w:val="000000"/>
                <w:kern w:val="0"/>
                <w:szCs w:val="21"/>
                <w:u w:val="single"/>
              </w:rPr>
              <w:t>端口配置要求</w:t>
            </w:r>
          </w:p>
        </w:tc>
        <w:tc>
          <w:tcPr>
            <w:tcW w:w="851" w:type="dxa"/>
            <w:vAlign w:val="center"/>
          </w:tcPr>
          <w:p w:rsidR="0014739F" w:rsidRPr="008F4333" w:rsidRDefault="0014739F" w:rsidP="0066374C">
            <w:pPr>
              <w:widowControl/>
              <w:spacing w:line="360" w:lineRule="auto"/>
              <w:jc w:val="center"/>
              <w:rPr>
                <w:rFonts w:ascii="宋体" w:hAnsi="宋体" w:cs="宋体" w:hint="eastAsia"/>
                <w:i/>
                <w:color w:val="000000"/>
                <w:kern w:val="0"/>
                <w:szCs w:val="21"/>
                <w:u w:val="single"/>
              </w:rPr>
            </w:pPr>
            <w:r w:rsidRPr="008F4333">
              <w:rPr>
                <w:rFonts w:ascii="宋体" w:hAnsi="宋体" w:cs="宋体" w:hint="eastAsia"/>
                <w:i/>
                <w:color w:val="000000"/>
                <w:kern w:val="0"/>
                <w:szCs w:val="21"/>
                <w:u w:val="single"/>
              </w:rPr>
              <w:t>必须满足</w:t>
            </w:r>
          </w:p>
        </w:tc>
        <w:tc>
          <w:tcPr>
            <w:tcW w:w="3402" w:type="dxa"/>
            <w:vAlign w:val="center"/>
          </w:tcPr>
          <w:p w:rsidR="0014739F" w:rsidRPr="008F4333" w:rsidRDefault="0014739F" w:rsidP="0066374C">
            <w:pPr>
              <w:widowControl/>
              <w:jc w:val="left"/>
              <w:rPr>
                <w:rFonts w:ascii="宋体" w:hAnsi="宋体" w:cs="宋体"/>
                <w:i/>
                <w:color w:val="000000"/>
                <w:kern w:val="0"/>
                <w:szCs w:val="21"/>
                <w:u w:val="single"/>
              </w:rPr>
            </w:pPr>
            <w:r w:rsidRPr="008F4333">
              <w:rPr>
                <w:rFonts w:ascii="宋体" w:hAnsi="宋体" w:cs="宋体" w:hint="eastAsia"/>
                <w:i/>
                <w:color w:val="000000"/>
                <w:kern w:val="0"/>
                <w:szCs w:val="21"/>
                <w:u w:val="single"/>
              </w:rPr>
              <w:t>实配</w:t>
            </w:r>
            <w:r w:rsidRPr="008F4333">
              <w:rPr>
                <w:rFonts w:ascii="宋体" w:hAnsi="宋体" w:cs="宋体"/>
                <w:i/>
                <w:color w:val="000000"/>
                <w:kern w:val="0"/>
                <w:szCs w:val="21"/>
                <w:u w:val="single"/>
              </w:rPr>
              <w:t>25</w:t>
            </w:r>
            <w:r w:rsidRPr="008F4333">
              <w:rPr>
                <w:rFonts w:ascii="宋体" w:hAnsi="宋体" w:cs="宋体" w:hint="eastAsia"/>
                <w:i/>
                <w:color w:val="000000"/>
                <w:kern w:val="0"/>
                <w:szCs w:val="21"/>
                <w:u w:val="single"/>
              </w:rPr>
              <w:t>G 光接口≥</w:t>
            </w:r>
            <w:r w:rsidRPr="008F4333">
              <w:rPr>
                <w:rFonts w:ascii="宋体" w:hAnsi="宋体" w:cs="宋体"/>
                <w:i/>
                <w:color w:val="000000"/>
                <w:kern w:val="0"/>
                <w:szCs w:val="21"/>
                <w:u w:val="single"/>
              </w:rPr>
              <w:t>24</w:t>
            </w:r>
            <w:r w:rsidRPr="008F4333">
              <w:rPr>
                <w:rFonts w:ascii="宋体" w:hAnsi="宋体" w:cs="宋体" w:hint="eastAsia"/>
                <w:i/>
                <w:color w:val="000000"/>
                <w:kern w:val="0"/>
                <w:szCs w:val="21"/>
                <w:u w:val="single"/>
              </w:rPr>
              <w:t>个，</w:t>
            </w:r>
            <w:r w:rsidRPr="008F4333">
              <w:rPr>
                <w:rFonts w:ascii="宋体" w:hAnsi="宋体" w:cs="宋体"/>
                <w:i/>
                <w:color w:val="000000"/>
                <w:kern w:val="0"/>
                <w:szCs w:val="21"/>
                <w:u w:val="single"/>
              </w:rPr>
              <w:t>100</w:t>
            </w:r>
            <w:r w:rsidRPr="008F4333">
              <w:rPr>
                <w:rFonts w:ascii="宋体" w:hAnsi="宋体" w:cs="宋体" w:hint="eastAsia"/>
                <w:i/>
                <w:color w:val="000000"/>
                <w:kern w:val="0"/>
                <w:szCs w:val="21"/>
                <w:u w:val="single"/>
              </w:rPr>
              <w:t>G光接口≥</w:t>
            </w:r>
            <w:r w:rsidRPr="008F4333">
              <w:rPr>
                <w:rFonts w:ascii="宋体" w:hAnsi="宋体" w:cs="宋体"/>
                <w:i/>
                <w:color w:val="000000"/>
                <w:kern w:val="0"/>
                <w:szCs w:val="21"/>
                <w:u w:val="single"/>
              </w:rPr>
              <w:t>8</w:t>
            </w:r>
            <w:r w:rsidRPr="008F4333">
              <w:rPr>
                <w:rFonts w:ascii="宋体" w:hAnsi="宋体" w:cs="宋体" w:hint="eastAsia"/>
                <w:i/>
                <w:color w:val="000000"/>
                <w:kern w:val="0"/>
                <w:szCs w:val="21"/>
                <w:u w:val="single"/>
              </w:rPr>
              <w:t>个，提供官网截图证明。单台配置1</w:t>
            </w:r>
            <w:r w:rsidRPr="008F4333">
              <w:rPr>
                <w:rFonts w:ascii="宋体" w:hAnsi="宋体" w:cs="宋体"/>
                <w:i/>
                <w:color w:val="000000"/>
                <w:kern w:val="0"/>
                <w:szCs w:val="21"/>
                <w:u w:val="single"/>
              </w:rPr>
              <w:t>2</w:t>
            </w:r>
            <w:r w:rsidRPr="008F4333">
              <w:rPr>
                <w:rFonts w:ascii="宋体" w:hAnsi="宋体" w:cs="宋体" w:hint="eastAsia"/>
                <w:i/>
                <w:color w:val="000000"/>
                <w:kern w:val="0"/>
                <w:szCs w:val="21"/>
                <w:u w:val="single"/>
              </w:rPr>
              <w:t>个2</w:t>
            </w:r>
            <w:r w:rsidRPr="008F4333">
              <w:rPr>
                <w:rFonts w:ascii="宋体" w:hAnsi="宋体" w:cs="宋体"/>
                <w:i/>
                <w:color w:val="000000"/>
                <w:kern w:val="0"/>
                <w:szCs w:val="21"/>
                <w:u w:val="single"/>
              </w:rPr>
              <w:t>5</w:t>
            </w:r>
            <w:r w:rsidRPr="008F4333">
              <w:rPr>
                <w:rFonts w:ascii="宋体" w:hAnsi="宋体" w:cs="宋体" w:hint="eastAsia"/>
                <w:i/>
                <w:color w:val="000000"/>
                <w:kern w:val="0"/>
                <w:szCs w:val="21"/>
                <w:u w:val="single"/>
              </w:rPr>
              <w:t>G光模块</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r w:rsidRPr="008F4333">
              <w:rPr>
                <w:rFonts w:ascii="宋体" w:hAnsi="宋体" w:hint="eastAsia"/>
                <w:color w:val="000000"/>
              </w:rPr>
              <w:t>基本要求，必须满足</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硬件规格</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r w:rsidRPr="008F4333">
              <w:rPr>
                <w:rFonts w:ascii="宋体" w:hAnsi="宋体" w:cs="宋体" w:hint="eastAsia"/>
                <w:color w:val="000000"/>
                <w:kern w:val="0"/>
                <w:szCs w:val="21"/>
              </w:rPr>
              <w:t>▲</w:t>
            </w: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支持支持双电源，≥5风扇模块，提供官网截图证明。</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r w:rsidRPr="008F4333">
              <w:rPr>
                <w:rFonts w:ascii="宋体" w:hAnsi="宋体" w:hint="eastAsia"/>
                <w:color w:val="000000"/>
                <w:szCs w:val="21"/>
              </w:rPr>
              <w:t>冗余配置，保证系统安全性</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链路聚合</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支持链路聚合基本功能及聚合零丢包</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三层功能</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支持IPv4静态路由、RIP、OSPF、ISIS、BGP；支持IPv6静态路由、RIPng、OSPFv3、ISISv6、BGP4+；支持IPv6手动隧道、6to4隧道和ISATAP隧道；</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网络质量分析</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p>
        </w:tc>
        <w:tc>
          <w:tcPr>
            <w:tcW w:w="3402" w:type="dxa"/>
            <w:vAlign w:val="center"/>
          </w:tcPr>
          <w:p w:rsidR="0014739F" w:rsidRPr="008F4333" w:rsidRDefault="0014739F" w:rsidP="0066374C">
            <w:pPr>
              <w:widowControl/>
              <w:spacing w:line="360" w:lineRule="auto"/>
              <w:jc w:val="left"/>
              <w:rPr>
                <w:rFonts w:ascii="宋体" w:hAnsi="宋体" w:cs="宋体" w:hint="eastAsia"/>
                <w:color w:val="000000"/>
                <w:kern w:val="0"/>
                <w:szCs w:val="21"/>
              </w:rPr>
            </w:pPr>
            <w:r w:rsidRPr="008F4333">
              <w:rPr>
                <w:rFonts w:ascii="宋体" w:hAnsi="宋体" w:cs="宋体" w:hint="eastAsia"/>
                <w:color w:val="000000"/>
                <w:kern w:val="0"/>
                <w:szCs w:val="21"/>
              </w:rPr>
              <w:t>支持智能网络质量分析技术，可快速测量网络性能的检测机制。可测量正向、反向以及双向的丢包情况（包括丢失的报文数、报文的丢失率、丢失的字节数、字节的丢失率），利用测量结果可快速定位丢包时间、丢包位置、丢包严重程度。提供官网截图证明。</w:t>
            </w:r>
          </w:p>
        </w:tc>
        <w:tc>
          <w:tcPr>
            <w:tcW w:w="2268" w:type="dxa"/>
            <w:vAlign w:val="center"/>
          </w:tcPr>
          <w:p w:rsidR="0014739F" w:rsidRPr="008F4333" w:rsidRDefault="0014739F" w:rsidP="0066374C">
            <w:pPr>
              <w:widowControl/>
              <w:spacing w:line="360" w:lineRule="auto"/>
              <w:jc w:val="left"/>
              <w:rPr>
                <w:rFonts w:ascii="宋体" w:hAnsi="宋体" w:hint="eastAsia"/>
                <w:color w:val="000000"/>
                <w:szCs w:val="21"/>
              </w:rPr>
            </w:pP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堆叠</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p>
        </w:tc>
        <w:tc>
          <w:tcPr>
            <w:tcW w:w="3402" w:type="dxa"/>
            <w:vAlign w:val="center"/>
          </w:tcPr>
          <w:p w:rsidR="0014739F" w:rsidRPr="008F4333" w:rsidRDefault="0014739F" w:rsidP="0066374C">
            <w:pPr>
              <w:widowControl/>
              <w:spacing w:line="360" w:lineRule="auto"/>
              <w:jc w:val="left"/>
              <w:rPr>
                <w:rFonts w:ascii="宋体" w:hAnsi="宋体" w:cs="宋体" w:hint="eastAsia"/>
                <w:color w:val="000000"/>
                <w:kern w:val="0"/>
                <w:szCs w:val="21"/>
              </w:rPr>
            </w:pPr>
            <w:r w:rsidRPr="008F4333">
              <w:rPr>
                <w:rFonts w:ascii="宋体" w:hAnsi="宋体" w:cs="宋体" w:hint="eastAsia"/>
                <w:color w:val="000000"/>
                <w:kern w:val="0"/>
                <w:szCs w:val="21"/>
              </w:rPr>
              <w:t>支持完善的堆叠分裂检测机制，堆叠分裂后能自动完成MAC和IP地址的重配置，无需手动干预。</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智能网管</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r w:rsidRPr="008F4333">
              <w:rPr>
                <w:rFonts w:ascii="宋体" w:hAnsi="宋体" w:cs="宋体" w:hint="eastAsia"/>
                <w:color w:val="000000"/>
                <w:kern w:val="0"/>
                <w:szCs w:val="21"/>
              </w:rPr>
              <w:t>▲</w:t>
            </w: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支持内置智能管理功能，实现对网络从核心到汇聚接入交换机的统一运维及管理，主要包括组管理、设备或组升级备份、监控及设备故障替换，组网拓扑可视及管理、设备列表展示等功能，提供官网截图。</w:t>
            </w:r>
          </w:p>
        </w:tc>
        <w:tc>
          <w:tcPr>
            <w:tcW w:w="2268" w:type="dxa"/>
            <w:vAlign w:val="center"/>
          </w:tcPr>
          <w:p w:rsidR="0014739F" w:rsidRPr="008F4333" w:rsidRDefault="0014739F" w:rsidP="0066374C">
            <w:pPr>
              <w:widowControl/>
              <w:spacing w:line="360" w:lineRule="auto"/>
              <w:jc w:val="left"/>
              <w:rPr>
                <w:rFonts w:ascii="宋体" w:hAnsi="宋体" w:hint="eastAsia"/>
                <w:color w:val="000000"/>
                <w:szCs w:val="21"/>
              </w:rPr>
            </w:pPr>
            <w:r w:rsidRPr="008F4333">
              <w:rPr>
                <w:rFonts w:ascii="宋体" w:hAnsi="宋体" w:hint="eastAsia"/>
                <w:color w:val="000000"/>
              </w:rPr>
              <w:t>降低日常管理的难度，提高医院IT的服务质量。</w:t>
            </w:r>
          </w:p>
        </w:tc>
      </w:tr>
      <w:tr w:rsidR="0014739F" w:rsidRPr="008F4333" w:rsidTr="0066374C">
        <w:trPr>
          <w:trHeight w:val="53"/>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数据中心特性</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r w:rsidRPr="008F4333">
              <w:rPr>
                <w:rFonts w:ascii="宋体" w:hAnsi="宋体" w:cs="宋体" w:hint="eastAsia"/>
                <w:color w:val="000000"/>
                <w:kern w:val="0"/>
                <w:szCs w:val="21"/>
              </w:rPr>
              <w:t>▲</w:t>
            </w: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支持PFC、ECN功能，支持ETS、DCBX功能，提供证明材料。</w:t>
            </w:r>
          </w:p>
        </w:tc>
        <w:tc>
          <w:tcPr>
            <w:tcW w:w="2268" w:type="dxa"/>
            <w:vAlign w:val="center"/>
          </w:tcPr>
          <w:p w:rsidR="0014739F" w:rsidRPr="008F4333" w:rsidRDefault="0014739F" w:rsidP="0066374C">
            <w:pPr>
              <w:widowControl/>
              <w:spacing w:line="360" w:lineRule="auto"/>
              <w:jc w:val="left"/>
              <w:rPr>
                <w:rFonts w:ascii="宋体" w:hAnsi="宋体" w:hint="eastAsia"/>
                <w:color w:val="000000"/>
                <w:szCs w:val="21"/>
              </w:rPr>
            </w:pPr>
            <w:r w:rsidRPr="008F4333">
              <w:rPr>
                <w:rFonts w:ascii="宋体" w:hAnsi="宋体" w:hint="eastAsia"/>
                <w:color w:val="000000"/>
              </w:rPr>
              <w:t>数据中心性能要求，用于网络</w:t>
            </w:r>
            <w:r w:rsidRPr="008F4333">
              <w:rPr>
                <w:rFonts w:ascii="宋体" w:hAnsi="宋体"/>
                <w:color w:val="000000"/>
              </w:rPr>
              <w:t>拥塞控制</w:t>
            </w:r>
            <w:r w:rsidRPr="008F4333">
              <w:rPr>
                <w:rFonts w:ascii="宋体" w:hAnsi="宋体" w:hint="eastAsia"/>
                <w:color w:val="000000"/>
              </w:rPr>
              <w:t>，提高交换优先级处理能力及带宽分配能力</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Align w:val="center"/>
          </w:tcPr>
          <w:p w:rsidR="0014739F" w:rsidRPr="008F4333" w:rsidRDefault="0014739F" w:rsidP="0066374C">
            <w:pPr>
              <w:widowControl/>
              <w:jc w:val="center"/>
              <w:rPr>
                <w:rFonts w:ascii="宋体" w:hAnsi="宋体" w:cs="宋体"/>
                <w:color w:val="000000"/>
                <w:kern w:val="0"/>
                <w:szCs w:val="21"/>
              </w:rPr>
            </w:pPr>
            <w:r w:rsidRPr="008F4333">
              <w:rPr>
                <w:rFonts w:ascii="宋体" w:hAnsi="宋体" w:cs="宋体" w:hint="eastAsia"/>
                <w:color w:val="000000"/>
                <w:kern w:val="0"/>
                <w:szCs w:val="21"/>
              </w:rPr>
              <w:t>可靠性</w:t>
            </w: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支持硬件BFD，最小检测间隔为3ms</w:t>
            </w:r>
          </w:p>
        </w:tc>
        <w:tc>
          <w:tcPr>
            <w:tcW w:w="2268" w:type="dxa"/>
            <w:vAlign w:val="center"/>
          </w:tcPr>
          <w:p w:rsidR="0014739F" w:rsidRPr="008F4333" w:rsidRDefault="0014739F" w:rsidP="0066374C">
            <w:pPr>
              <w:widowControl/>
              <w:spacing w:line="360" w:lineRule="auto"/>
              <w:jc w:val="center"/>
              <w:rPr>
                <w:rFonts w:ascii="宋体" w:hAnsi="宋体" w:hint="eastAsia"/>
                <w:color w:val="000000"/>
                <w:szCs w:val="21"/>
              </w:rPr>
            </w:pP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Merge w:val="restart"/>
            <w:vAlign w:val="center"/>
          </w:tcPr>
          <w:p w:rsidR="0014739F" w:rsidRPr="008F4333" w:rsidRDefault="0014739F" w:rsidP="0066374C">
            <w:pPr>
              <w:widowControl/>
              <w:jc w:val="center"/>
              <w:rPr>
                <w:rFonts w:ascii="宋体" w:hAnsi="宋体" w:cs="宋体" w:hint="eastAsia"/>
                <w:color w:val="000000"/>
                <w:kern w:val="0"/>
                <w:szCs w:val="21"/>
              </w:rPr>
            </w:pPr>
            <w:r w:rsidRPr="008F4333">
              <w:rPr>
                <w:rFonts w:ascii="宋体" w:hAnsi="宋体" w:cs="宋体" w:hint="eastAsia"/>
                <w:color w:val="000000"/>
                <w:kern w:val="0"/>
                <w:szCs w:val="21"/>
              </w:rPr>
              <w:t>公司资质</w:t>
            </w:r>
          </w:p>
          <w:p w:rsidR="0014739F" w:rsidRPr="008F4333" w:rsidRDefault="0014739F" w:rsidP="0066374C">
            <w:pPr>
              <w:widowControl/>
              <w:jc w:val="center"/>
              <w:rPr>
                <w:rFonts w:ascii="宋体" w:hAnsi="宋体" w:cs="宋体"/>
                <w:color w:val="000000"/>
                <w:kern w:val="0"/>
                <w:szCs w:val="21"/>
              </w:rPr>
            </w:pP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r w:rsidRPr="008F4333">
              <w:rPr>
                <w:rFonts w:ascii="宋体" w:hAnsi="宋体" w:cs="宋体" w:hint="eastAsia"/>
                <w:color w:val="000000"/>
                <w:kern w:val="0"/>
                <w:szCs w:val="21"/>
              </w:rPr>
              <w:t>▲</w:t>
            </w: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为证明投标厂商的通信网络安全服务能力，要求提供中国通信企业协会的通信网络安全服务能力（应急响应）证书，要求提供证书复印件</w:t>
            </w:r>
            <w:r w:rsidRPr="008F4333">
              <w:rPr>
                <w:rFonts w:ascii="宋体" w:hAnsi="宋体" w:cs="宋体" w:hint="eastAsia"/>
                <w:color w:val="000000"/>
                <w:kern w:val="0"/>
                <w:szCs w:val="21"/>
              </w:rPr>
              <w:lastRenderedPageBreak/>
              <w:t>并加盖厂商公章</w:t>
            </w:r>
          </w:p>
        </w:tc>
        <w:tc>
          <w:tcPr>
            <w:tcW w:w="2268" w:type="dxa"/>
            <w:vAlign w:val="center"/>
          </w:tcPr>
          <w:p w:rsidR="0014739F" w:rsidRPr="008F4333" w:rsidRDefault="0014739F" w:rsidP="0066374C">
            <w:pPr>
              <w:widowControl/>
              <w:spacing w:line="360" w:lineRule="auto"/>
              <w:jc w:val="left"/>
              <w:rPr>
                <w:rFonts w:ascii="宋体" w:hAnsi="宋体" w:hint="eastAsia"/>
                <w:color w:val="000000"/>
                <w:szCs w:val="21"/>
              </w:rPr>
            </w:pPr>
            <w:r w:rsidRPr="008F4333">
              <w:rPr>
                <w:rFonts w:ascii="宋体" w:hAnsi="宋体" w:hint="eastAsia"/>
                <w:color w:val="000000"/>
              </w:rPr>
              <w:lastRenderedPageBreak/>
              <w:t>交换机品牌众多，鱼龙混杂，避免不成熟的产</w:t>
            </w:r>
            <w:r w:rsidRPr="008F4333">
              <w:rPr>
                <w:rFonts w:ascii="宋体" w:hAnsi="宋体" w:hint="eastAsia"/>
                <w:color w:val="000000"/>
              </w:rPr>
              <w:lastRenderedPageBreak/>
              <w:t>品出现。</w:t>
            </w:r>
          </w:p>
        </w:tc>
      </w:tr>
      <w:tr w:rsidR="0014739F" w:rsidRPr="008F4333" w:rsidTr="0066374C">
        <w:trPr>
          <w:trHeight w:val="70"/>
        </w:trPr>
        <w:tc>
          <w:tcPr>
            <w:tcW w:w="675" w:type="dxa"/>
            <w:vAlign w:val="center"/>
          </w:tcPr>
          <w:p w:rsidR="0014739F" w:rsidRPr="008F4333" w:rsidRDefault="0014739F" w:rsidP="0066374C">
            <w:pPr>
              <w:numPr>
                <w:ilvl w:val="0"/>
                <w:numId w:val="2"/>
              </w:numPr>
              <w:jc w:val="center"/>
              <w:rPr>
                <w:rFonts w:ascii="宋体" w:hAnsi="宋体" w:hint="eastAsia"/>
                <w:color w:val="000000"/>
                <w:szCs w:val="21"/>
              </w:rPr>
            </w:pPr>
          </w:p>
        </w:tc>
        <w:tc>
          <w:tcPr>
            <w:tcW w:w="1276" w:type="dxa"/>
            <w:vMerge/>
            <w:vAlign w:val="center"/>
          </w:tcPr>
          <w:p w:rsidR="0014739F" w:rsidRPr="008F4333" w:rsidRDefault="0014739F" w:rsidP="0066374C">
            <w:pPr>
              <w:widowControl/>
              <w:jc w:val="center"/>
              <w:rPr>
                <w:rFonts w:ascii="宋体" w:hAnsi="宋体" w:cs="宋体"/>
                <w:color w:val="000000"/>
                <w:kern w:val="0"/>
                <w:szCs w:val="21"/>
              </w:rPr>
            </w:pPr>
          </w:p>
        </w:tc>
        <w:tc>
          <w:tcPr>
            <w:tcW w:w="851" w:type="dxa"/>
            <w:vAlign w:val="center"/>
          </w:tcPr>
          <w:p w:rsidR="0014739F" w:rsidRPr="008F4333" w:rsidRDefault="0014739F" w:rsidP="0066374C">
            <w:pPr>
              <w:widowControl/>
              <w:spacing w:line="360" w:lineRule="auto"/>
              <w:jc w:val="center"/>
              <w:rPr>
                <w:rFonts w:ascii="宋体" w:hAnsi="宋体" w:cs="宋体" w:hint="eastAsia"/>
                <w:color w:val="000000"/>
                <w:kern w:val="0"/>
                <w:szCs w:val="21"/>
              </w:rPr>
            </w:pPr>
            <w:r w:rsidRPr="008F4333">
              <w:rPr>
                <w:rFonts w:ascii="宋体" w:hAnsi="宋体" w:cs="宋体" w:hint="eastAsia"/>
                <w:color w:val="000000"/>
                <w:kern w:val="0"/>
                <w:szCs w:val="21"/>
              </w:rPr>
              <w:t>▲</w:t>
            </w:r>
          </w:p>
        </w:tc>
        <w:tc>
          <w:tcPr>
            <w:tcW w:w="3402" w:type="dxa"/>
            <w:vAlign w:val="center"/>
          </w:tcPr>
          <w:p w:rsidR="0014739F" w:rsidRPr="008F4333" w:rsidRDefault="0014739F" w:rsidP="0066374C">
            <w:pPr>
              <w:widowControl/>
              <w:jc w:val="left"/>
              <w:rPr>
                <w:rFonts w:ascii="宋体" w:hAnsi="宋体" w:cs="宋体"/>
                <w:color w:val="000000"/>
                <w:kern w:val="0"/>
                <w:szCs w:val="21"/>
              </w:rPr>
            </w:pPr>
            <w:r w:rsidRPr="008F4333">
              <w:rPr>
                <w:rFonts w:ascii="宋体" w:hAnsi="宋体" w:cs="宋体" w:hint="eastAsia"/>
                <w:color w:val="000000"/>
                <w:kern w:val="0"/>
                <w:szCs w:val="21"/>
              </w:rPr>
              <w:t>为证明投标厂商的运维能力，要求有信息系统安全运维服务一级资质，要求提供证书复印件并加盖厂商公章</w:t>
            </w:r>
          </w:p>
        </w:tc>
        <w:tc>
          <w:tcPr>
            <w:tcW w:w="2268" w:type="dxa"/>
            <w:vAlign w:val="center"/>
          </w:tcPr>
          <w:p w:rsidR="0014739F" w:rsidRPr="008F4333" w:rsidRDefault="0014739F" w:rsidP="0066374C">
            <w:pPr>
              <w:widowControl/>
              <w:spacing w:line="360" w:lineRule="auto"/>
              <w:jc w:val="left"/>
              <w:rPr>
                <w:rFonts w:ascii="宋体" w:hAnsi="宋体" w:hint="eastAsia"/>
                <w:color w:val="000000"/>
                <w:szCs w:val="21"/>
              </w:rPr>
            </w:pPr>
            <w:r w:rsidRPr="008F4333">
              <w:rPr>
                <w:rFonts w:ascii="宋体" w:hAnsi="宋体" w:hint="eastAsia"/>
                <w:color w:val="000000"/>
              </w:rPr>
              <w:t>交换机品牌众多，鱼龙混杂，避免不成熟的产品出现。</w:t>
            </w:r>
          </w:p>
        </w:tc>
      </w:tr>
    </w:tbl>
    <w:p w:rsidR="0014739F" w:rsidRPr="008F4333" w:rsidRDefault="0014739F" w:rsidP="0014739F">
      <w:pPr>
        <w:spacing w:beforeLines="50" w:before="156" w:line="360" w:lineRule="auto"/>
        <w:ind w:firstLineChars="196" w:firstLine="413"/>
        <w:outlineLvl w:val="0"/>
        <w:rPr>
          <w:rFonts w:ascii="宋体" w:hAnsi="宋体"/>
          <w:b/>
          <w:color w:val="000000"/>
        </w:rPr>
      </w:pPr>
      <w:r w:rsidRPr="008F4333">
        <w:rPr>
          <w:rFonts w:ascii="宋体" w:hAnsi="宋体" w:hint="eastAsia"/>
          <w:b/>
          <w:color w:val="000000"/>
        </w:rPr>
        <w:t>服务要求</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1、中标供应商必须在供货时，免费质保期不得低于伍年要求年限，并在供货时提供服务承诺函，最终用户为江苏大学附属医院（可查询验证）。供货时由原厂工程师上门提供安装服务，否则被视为违约，承担相关责任。</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2、对本次采购的所有软硬件、配件、辅件在到货检查及质保期内应确保货物的正常使用，出现故障等情形必须按同型号无偿更换，提供免费上门维修。免费质保期内，不能修复时供应商必须免费提供同种规格配件进行更换，如不能提供同种规格型号的配件，用其它型号配件代替时，需经采购人同意，且不补差价。免费质保期后产品实行终身有偿维修，并且保证在设备的设计使用寿命周期内，能够及时提供原厂正宗的零备件，中标人只收取材料费，以确保设备的正常运行。</w:t>
      </w:r>
    </w:p>
    <w:p w:rsidR="0014739F" w:rsidRPr="008F4333" w:rsidRDefault="0014739F" w:rsidP="0014739F">
      <w:pPr>
        <w:spacing w:line="360" w:lineRule="auto"/>
        <w:ind w:firstLineChars="200" w:firstLine="480"/>
        <w:rPr>
          <w:rFonts w:ascii="楷体" w:eastAsia="楷体" w:hAnsi="楷体" w:cs="宋体"/>
          <w:i/>
          <w:color w:val="000000"/>
          <w:sz w:val="24"/>
        </w:rPr>
      </w:pPr>
      <w:r w:rsidRPr="008F4333">
        <w:rPr>
          <w:rFonts w:ascii="楷体" w:eastAsia="楷体" w:hAnsi="楷体" w:cs="宋体" w:hint="eastAsia"/>
          <w:i/>
          <w:color w:val="000000"/>
          <w:sz w:val="24"/>
        </w:rPr>
        <w:t>3、要求供应商必须为本项目中所有的设备提供全年7×24小时驻场服务，明确到人，晚班值班人员不得无故离岗、脱岗。非硬件故障2小时内恢复，硬件故障8小时内恢复，提供备品备件库支持。</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4、要求设备原厂在本项目质保期内提供相关设备的巡检服务，次数不低于每季度一次例行巡检并出具设备运行报告。配合用户根据运行环境和要求调整性能参数，并根据用户系统变化情况及时调整优化。对重大的技术问题，供应商应协调组织技术专家小组进行会诊，以确保系统的正常运行。</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5、需要将现在超融合平台上的电子病历 、LIS、 RIS、医生站、护士站等医院核心业务系统，从当前平台迁移到新超融合平台上并完成相关业务系统与容灾平台的对接工作。保证所有系统在不影响业务正常运行的情况下，完成数据在线迁移；保证所有相关容灾平台的正常运行。</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6、合同签订后30天内完成全部设备供货及安装调试工作。</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7、提供原厂工程师培训服务（甲方现场）不低于一次。</w:t>
      </w:r>
    </w:p>
    <w:p w:rsidR="0014739F" w:rsidRPr="008F4333" w:rsidRDefault="0014739F" w:rsidP="0014739F">
      <w:pPr>
        <w:spacing w:line="360" w:lineRule="auto"/>
        <w:ind w:firstLineChars="200" w:firstLine="480"/>
        <w:jc w:val="left"/>
        <w:rPr>
          <w:rFonts w:ascii="楷体" w:eastAsia="楷体" w:hAnsi="楷体" w:cs="宋体"/>
          <w:i/>
          <w:color w:val="000000"/>
          <w:sz w:val="24"/>
        </w:rPr>
      </w:pPr>
      <w:r w:rsidRPr="008F4333">
        <w:rPr>
          <w:rFonts w:ascii="楷体" w:eastAsia="楷体" w:hAnsi="楷体" w:cs="宋体" w:hint="eastAsia"/>
          <w:i/>
          <w:color w:val="000000"/>
          <w:sz w:val="24"/>
        </w:rPr>
        <w:t>8、采购产品的供货、交付与验收，供应商必须安排专人负责，直到本次项目验收结束。设备安装、调试所需的工具、仪表及安装材料由投标人自行解决。</w:t>
      </w:r>
      <w:r w:rsidRPr="008F4333">
        <w:rPr>
          <w:rFonts w:ascii="楷体" w:eastAsia="楷体" w:hAnsi="楷体" w:cs="宋体" w:hint="eastAsia"/>
          <w:i/>
          <w:color w:val="000000"/>
          <w:sz w:val="24"/>
        </w:rPr>
        <w:lastRenderedPageBreak/>
        <w:t>实施过程应严格执行相关的强弱电施工规范，并保证施工安全。</w:t>
      </w:r>
    </w:p>
    <w:p w:rsidR="0014739F" w:rsidRPr="008F4333" w:rsidRDefault="0014739F" w:rsidP="0014739F">
      <w:pPr>
        <w:spacing w:line="360" w:lineRule="auto"/>
        <w:ind w:firstLine="200"/>
        <w:jc w:val="left"/>
        <w:rPr>
          <w:rFonts w:ascii="楷体" w:eastAsia="楷体" w:hAnsi="楷体" w:cs="宋体"/>
          <w:b/>
          <w:i/>
          <w:color w:val="000000"/>
          <w:sz w:val="24"/>
          <w:u w:val="single"/>
        </w:rPr>
      </w:pPr>
      <w:r w:rsidRPr="008F4333">
        <w:rPr>
          <w:rFonts w:ascii="楷体" w:eastAsia="楷体" w:hAnsi="楷体" w:cs="宋体" w:hint="eastAsia"/>
          <w:b/>
          <w:i/>
          <w:color w:val="000000"/>
          <w:sz w:val="24"/>
        </w:rPr>
        <w:t>注：</w:t>
      </w:r>
      <w:r w:rsidRPr="008F4333">
        <w:rPr>
          <w:rFonts w:ascii="楷体" w:eastAsia="楷体" w:hAnsi="楷体" w:cs="宋体" w:hint="eastAsia"/>
          <w:b/>
          <w:i/>
          <w:color w:val="000000"/>
          <w:sz w:val="24"/>
          <w:u w:val="single"/>
        </w:rPr>
        <w:t>必须针对上述要求在投标文件中逐条表述及提供承诺，若服务要求有负偏离或未提供承诺函，将被视为未实质性响应招标文件要求。</w:t>
      </w:r>
    </w:p>
    <w:p w:rsidR="0014739F" w:rsidRPr="008F4333" w:rsidRDefault="0014739F" w:rsidP="0014739F">
      <w:pPr>
        <w:spacing w:beforeLines="50" w:before="156" w:line="360" w:lineRule="auto"/>
        <w:ind w:firstLineChars="196" w:firstLine="413"/>
        <w:outlineLvl w:val="0"/>
        <w:rPr>
          <w:rFonts w:ascii="宋体" w:hAnsi="宋体"/>
          <w:b/>
          <w:color w:val="000000"/>
        </w:rPr>
      </w:pPr>
      <w:r w:rsidRPr="008F4333">
        <w:rPr>
          <w:rFonts w:ascii="宋体" w:hAnsi="宋体" w:hint="eastAsia"/>
          <w:b/>
          <w:color w:val="000000"/>
        </w:rPr>
        <w:t>其他要求等</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hint="eastAsia"/>
          <w:color w:val="000000"/>
          <w:sz w:val="24"/>
        </w:rPr>
        <w:t>1</w:t>
      </w:r>
      <w:r w:rsidRPr="008F4333">
        <w:rPr>
          <w:rFonts w:ascii="楷体" w:eastAsia="楷体" w:hAnsi="楷体" w:cs="宋体"/>
          <w:color w:val="000000"/>
          <w:sz w:val="24"/>
        </w:rPr>
        <w:t>.</w:t>
      </w:r>
      <w:r w:rsidRPr="008F4333">
        <w:rPr>
          <w:rFonts w:ascii="楷体" w:eastAsia="楷体" w:hAnsi="楷体" w:cs="宋体" w:hint="eastAsia"/>
          <w:color w:val="000000"/>
          <w:sz w:val="24"/>
        </w:rPr>
        <w:t>项目深化设计要求</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投标人根据建设目标、建设要求、</w:t>
      </w:r>
      <w:r w:rsidRPr="008F4333">
        <w:rPr>
          <w:rFonts w:ascii="楷体" w:eastAsia="楷体" w:hAnsi="楷体" w:cs="宋体" w:hint="eastAsia"/>
          <w:color w:val="000000"/>
          <w:sz w:val="24"/>
        </w:rPr>
        <w:t>建设内容、</w:t>
      </w:r>
      <w:r w:rsidRPr="008F4333">
        <w:rPr>
          <w:rFonts w:ascii="楷体" w:eastAsia="楷体" w:hAnsi="楷体" w:cs="宋体"/>
          <w:color w:val="000000"/>
          <w:sz w:val="24"/>
        </w:rPr>
        <w:t>设计原则及设备配置等制订深化技术方案，方案应能满足质量可靠、科学合理、安全可靠、功能齐全、扩展性强、</w:t>
      </w:r>
      <w:r w:rsidRPr="008F4333">
        <w:rPr>
          <w:rFonts w:ascii="楷体" w:eastAsia="楷体" w:hAnsi="楷体" w:cs="宋体" w:hint="eastAsia"/>
          <w:color w:val="000000"/>
          <w:sz w:val="24"/>
        </w:rPr>
        <w:t>集成方便、使用简单</w:t>
      </w:r>
      <w:r w:rsidRPr="008F4333">
        <w:rPr>
          <w:rFonts w:ascii="楷体" w:eastAsia="楷体" w:hAnsi="楷体" w:cs="宋体"/>
          <w:color w:val="000000"/>
          <w:sz w:val="24"/>
        </w:rPr>
        <w:t>，</w:t>
      </w:r>
      <w:r w:rsidRPr="008F4333">
        <w:rPr>
          <w:rFonts w:ascii="楷体" w:eastAsia="楷体" w:hAnsi="楷体" w:cs="宋体" w:hint="eastAsia"/>
          <w:color w:val="000000"/>
          <w:sz w:val="24"/>
        </w:rPr>
        <w:t>确保通过国家相应安全标准验收</w:t>
      </w:r>
      <w:r w:rsidRPr="008F4333">
        <w:rPr>
          <w:rFonts w:ascii="楷体" w:eastAsia="楷体" w:hAnsi="楷体" w:cs="宋体"/>
          <w:color w:val="000000"/>
          <w:sz w:val="24"/>
        </w:rPr>
        <w:t>。提供项目详细系统</w:t>
      </w:r>
      <w:r w:rsidRPr="008F4333">
        <w:rPr>
          <w:rFonts w:ascii="楷体" w:eastAsia="楷体" w:hAnsi="楷体" w:cs="宋体" w:hint="eastAsia"/>
          <w:color w:val="000000"/>
          <w:sz w:val="24"/>
        </w:rPr>
        <w:t>设计方案、</w:t>
      </w:r>
      <w:r w:rsidRPr="008F4333">
        <w:rPr>
          <w:rFonts w:ascii="楷体" w:eastAsia="楷体" w:hAnsi="楷体" w:cs="宋体"/>
          <w:color w:val="000000"/>
          <w:sz w:val="24"/>
        </w:rPr>
        <w:t>设备选型及节点图，系统连接图等，方案应科学合理切实可行，符合本项目各项建设要求。</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hint="eastAsia"/>
          <w:color w:val="000000"/>
          <w:sz w:val="24"/>
        </w:rPr>
        <w:t>2</w:t>
      </w:r>
      <w:r w:rsidRPr="008F4333">
        <w:rPr>
          <w:rFonts w:ascii="楷体" w:eastAsia="楷体" w:hAnsi="楷体" w:cs="宋体"/>
          <w:color w:val="000000"/>
          <w:sz w:val="24"/>
        </w:rPr>
        <w:t>.项目实施要求</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为了确保本次项目顺利建设完成，投标人须根据采购人的现有网络安全系统和业务情况，对现有软硬件资源进行合理的规划使用，按照建设方案的总体要求，为本次项目制定并提供完善的项目实施方案，包括：现有设备集成实施规划、新购设备集成实施规划、设备的部署方案规划、设备联调及测试计划等</w:t>
      </w:r>
      <w:r w:rsidRPr="008F4333">
        <w:rPr>
          <w:rFonts w:ascii="楷体" w:eastAsia="楷体" w:hAnsi="楷体" w:cs="宋体" w:hint="eastAsia"/>
          <w:color w:val="000000"/>
          <w:sz w:val="24"/>
        </w:rPr>
        <w:t>；同时，提供原超融合平台业务迁移方案，确保新旧平台顺利融合</w:t>
      </w:r>
      <w:r w:rsidRPr="008F4333">
        <w:rPr>
          <w:rFonts w:ascii="楷体" w:eastAsia="楷体" w:hAnsi="楷体" w:cs="宋体"/>
          <w:color w:val="000000"/>
          <w:sz w:val="24"/>
        </w:rPr>
        <w:t>。</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中标人需高质量完成本项目的系统集成工作，主要包括：设备的到货、验收，用户培训，设备的安装调试，保障网络和系统的稳定运行。</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若本项目中采购的软硬件产品在配置或要求中出现不合理或不完整的问题，投标人和设备（制造商）有责任和义务提供补充修改方案及产品，采购人不再另行支付相关费用。</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hint="eastAsia"/>
          <w:color w:val="000000"/>
          <w:sz w:val="24"/>
        </w:rPr>
        <w:t>3</w:t>
      </w:r>
      <w:r w:rsidRPr="008F4333">
        <w:rPr>
          <w:rFonts w:ascii="楷体" w:eastAsia="楷体" w:hAnsi="楷体" w:cs="宋体"/>
          <w:color w:val="000000"/>
          <w:sz w:val="24"/>
        </w:rPr>
        <w:t>.项目验收要求</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本次项目采购设备到货后，中标人需与用户单位密切配合，对所有采购的设备进行开箱检查。如出现设备损坏、数量不全或产品不对等问题，由中标人负责解决。根据标书要求对本次所有采购设备的型号、规格、数量、外型、外观、包装及资料、文件（如装箱单、保修单、随箱介质等）进行验收。</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本次项目设备安装实施完成后，由中标人提供完善的测试和验收方案。经用户单位确认后，对产品的性能和配置进行测试和验收，并形成测试和验收报告。测试过程中出现设备产品性能指标或功能上指标不符合招标文件要求的，用户单</w:t>
      </w:r>
      <w:r w:rsidRPr="008F4333">
        <w:rPr>
          <w:rFonts w:ascii="楷体" w:eastAsia="楷体" w:hAnsi="楷体" w:cs="宋体"/>
          <w:color w:val="000000"/>
          <w:sz w:val="24"/>
        </w:rPr>
        <w:lastRenderedPageBreak/>
        <w:t>位有权拒收；如测试过程中出现不符合招标文件和合同要求的严重质量问题的，用户单位保留索赔权利。</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hint="eastAsia"/>
          <w:color w:val="000000"/>
          <w:sz w:val="24"/>
        </w:rPr>
        <w:t>4</w:t>
      </w:r>
      <w:r w:rsidRPr="008F4333">
        <w:rPr>
          <w:rFonts w:ascii="楷体" w:eastAsia="楷体" w:hAnsi="楷体" w:cs="宋体"/>
          <w:color w:val="000000"/>
          <w:sz w:val="24"/>
        </w:rPr>
        <w:t>.项目售后服务要求</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 xml:space="preserve">本次项目采购的所有软硬件产品需提供原厂质保，软件升级、规则库升级服务和技术支持服务，投标人必须针对本项目提供完善的售后服务方案。方案重点是详细说明中标人和产品制造商的服务体系结构特点、故障等级及响应策略、巡检维护等内容。 </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本次项目在原厂质保和技术支持服务标准的基础上，要求投标人具有本地化服务能力，包括但不限于：7*24小时</w:t>
      </w:r>
      <w:r w:rsidRPr="008F4333">
        <w:rPr>
          <w:rFonts w:ascii="楷体" w:eastAsia="楷体" w:hAnsi="楷体" w:cs="宋体" w:hint="eastAsia"/>
          <w:color w:val="000000"/>
          <w:sz w:val="24"/>
        </w:rPr>
        <w:t>驻场</w:t>
      </w:r>
      <w:r w:rsidRPr="008F4333">
        <w:rPr>
          <w:rFonts w:ascii="楷体" w:eastAsia="楷体" w:hAnsi="楷体" w:cs="宋体"/>
          <w:color w:val="000000"/>
          <w:sz w:val="24"/>
        </w:rPr>
        <w:t>服务，严重故障时协调</w:t>
      </w:r>
      <w:r w:rsidRPr="008F4333">
        <w:rPr>
          <w:rFonts w:ascii="楷体" w:eastAsia="楷体" w:hAnsi="楷体" w:cs="宋体" w:hint="eastAsia"/>
          <w:color w:val="000000"/>
          <w:sz w:val="24"/>
        </w:rPr>
        <w:t>原厂技术</w:t>
      </w:r>
      <w:r w:rsidRPr="008F4333">
        <w:rPr>
          <w:rFonts w:ascii="楷体" w:eastAsia="楷体" w:hAnsi="楷体" w:cs="宋体"/>
          <w:color w:val="000000"/>
          <w:sz w:val="24"/>
        </w:rPr>
        <w:t>人员到达现场</w:t>
      </w:r>
      <w:r w:rsidRPr="008F4333">
        <w:rPr>
          <w:rFonts w:ascii="楷体" w:eastAsia="楷体" w:hAnsi="楷体" w:cs="宋体" w:hint="eastAsia"/>
          <w:color w:val="000000"/>
          <w:sz w:val="24"/>
        </w:rPr>
        <w:t>服务</w:t>
      </w:r>
      <w:r w:rsidRPr="008F4333">
        <w:rPr>
          <w:rFonts w:ascii="楷体" w:eastAsia="楷体" w:hAnsi="楷体" w:cs="宋体"/>
          <w:color w:val="000000"/>
          <w:sz w:val="24"/>
        </w:rPr>
        <w:t>，提供技术支持热线等。</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color w:val="000000"/>
          <w:sz w:val="24"/>
        </w:rPr>
        <w:t>项目设备质保期满后，如设备出现故障，投标人在接到用户单位通知后，仍应在上述时限内响应并赶到用户单位现场，帮助用户单位排除故障、修复或更换零部件，需购买零部件时，可以酌情收取成本费用。</w:t>
      </w:r>
    </w:p>
    <w:p w:rsidR="0014739F" w:rsidRPr="008F4333" w:rsidRDefault="0014739F" w:rsidP="0014739F">
      <w:pPr>
        <w:spacing w:line="360" w:lineRule="auto"/>
        <w:ind w:firstLineChars="200" w:firstLine="480"/>
        <w:jc w:val="left"/>
        <w:rPr>
          <w:rFonts w:ascii="楷体" w:eastAsia="楷体" w:hAnsi="楷体" w:cs="宋体"/>
          <w:color w:val="000000"/>
          <w:sz w:val="24"/>
        </w:rPr>
      </w:pPr>
      <w:r w:rsidRPr="008F4333">
        <w:rPr>
          <w:rFonts w:ascii="楷体" w:eastAsia="楷体" w:hAnsi="楷体" w:cs="宋体" w:hint="eastAsia"/>
          <w:color w:val="000000"/>
          <w:sz w:val="24"/>
        </w:rPr>
        <w:t>5</w:t>
      </w:r>
      <w:r w:rsidRPr="008F4333">
        <w:rPr>
          <w:rFonts w:ascii="楷体" w:eastAsia="楷体" w:hAnsi="楷体" w:cs="宋体"/>
          <w:color w:val="000000"/>
          <w:sz w:val="24"/>
        </w:rPr>
        <w:t>.项目培训方案要求</w:t>
      </w:r>
    </w:p>
    <w:p w:rsidR="0014739F" w:rsidRPr="008F4333" w:rsidRDefault="0014739F" w:rsidP="0014739F">
      <w:pPr>
        <w:rPr>
          <w:color w:val="000000"/>
        </w:rPr>
      </w:pPr>
      <w:r w:rsidRPr="008F4333">
        <w:rPr>
          <w:rFonts w:ascii="楷体" w:eastAsia="楷体" w:hAnsi="楷体" w:cs="宋体"/>
          <w:color w:val="000000"/>
          <w:sz w:val="24"/>
        </w:rPr>
        <w:t>投标人需针对本次项目采购设备产品制定并提供完整的培训计划方案，主要在项目实施前期、中期和实施完成后对用户单位技术人员进行相关产品知识、操作使用和维护等的培训。要求保证在培训结束后，用户单位技术人员能熟练使用和维护相关设备产品。</w:t>
      </w:r>
    </w:p>
    <w:p w:rsidR="0014739F" w:rsidRPr="008F4333" w:rsidRDefault="0014739F" w:rsidP="0014739F">
      <w:pPr>
        <w:spacing w:beforeLines="50" w:before="156" w:line="360" w:lineRule="auto"/>
        <w:ind w:firstLineChars="196" w:firstLine="413"/>
        <w:outlineLvl w:val="0"/>
        <w:rPr>
          <w:rFonts w:ascii="宋体" w:hAnsi="宋体"/>
          <w:b/>
          <w:color w:val="000000"/>
        </w:rPr>
      </w:pPr>
      <w:r w:rsidRPr="008F4333">
        <w:rPr>
          <w:rFonts w:ascii="宋体" w:hAnsi="宋体" w:hint="eastAsia"/>
          <w:b/>
          <w:color w:val="000000"/>
        </w:rPr>
        <w:t>商务和服务需求</w:t>
      </w:r>
    </w:p>
    <w:tbl>
      <w:tblPr>
        <w:tblW w:w="8722"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776"/>
        <w:gridCol w:w="1134"/>
        <w:gridCol w:w="5167"/>
      </w:tblGrid>
      <w:tr w:rsidR="0014739F" w:rsidRPr="008F4333" w:rsidTr="0066374C">
        <w:trPr>
          <w:trHeight w:val="520"/>
          <w:jc w:val="center"/>
        </w:trPr>
        <w:tc>
          <w:tcPr>
            <w:tcW w:w="645" w:type="dxa"/>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序号</w:t>
            </w:r>
          </w:p>
        </w:tc>
        <w:tc>
          <w:tcPr>
            <w:tcW w:w="1776" w:type="dxa"/>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商务和服务项目</w:t>
            </w:r>
          </w:p>
        </w:tc>
        <w:tc>
          <w:tcPr>
            <w:tcW w:w="1134" w:type="dxa"/>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重要性</w:t>
            </w:r>
          </w:p>
        </w:tc>
        <w:tc>
          <w:tcPr>
            <w:tcW w:w="5167" w:type="dxa"/>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商务和服务要求</w:t>
            </w:r>
          </w:p>
        </w:tc>
      </w:tr>
      <w:tr w:rsidR="0014739F" w:rsidRPr="008F4333" w:rsidTr="0066374C">
        <w:trPr>
          <w:trHeight w:val="501"/>
          <w:jc w:val="center"/>
        </w:trPr>
        <w:tc>
          <w:tcPr>
            <w:tcW w:w="645" w:type="dxa"/>
            <w:vAlign w:val="center"/>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1</w:t>
            </w:r>
          </w:p>
        </w:tc>
        <w:tc>
          <w:tcPr>
            <w:tcW w:w="1776" w:type="dxa"/>
            <w:vAlign w:val="center"/>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供货期</w:t>
            </w:r>
          </w:p>
        </w:tc>
        <w:tc>
          <w:tcPr>
            <w:tcW w:w="1134" w:type="dxa"/>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p>
        </w:tc>
        <w:tc>
          <w:tcPr>
            <w:tcW w:w="5167" w:type="dxa"/>
            <w:vAlign w:val="center"/>
          </w:tcPr>
          <w:p w:rsidR="0014739F" w:rsidRPr="008F4333" w:rsidRDefault="0014739F" w:rsidP="0066374C">
            <w:pPr>
              <w:autoSpaceDE w:val="0"/>
              <w:autoSpaceDN w:val="0"/>
              <w:adjustRightInd w:val="0"/>
              <w:snapToGrid w:val="0"/>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合同签订后30天内完成全部设备供货及安装调试工作</w:t>
            </w:r>
          </w:p>
        </w:tc>
      </w:tr>
      <w:tr w:rsidR="0014739F" w:rsidRPr="008F4333" w:rsidTr="0066374C">
        <w:trPr>
          <w:trHeight w:val="485"/>
          <w:jc w:val="center"/>
        </w:trPr>
        <w:tc>
          <w:tcPr>
            <w:tcW w:w="645" w:type="dxa"/>
            <w:vAlign w:val="center"/>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2</w:t>
            </w:r>
          </w:p>
        </w:tc>
        <w:tc>
          <w:tcPr>
            <w:tcW w:w="1776" w:type="dxa"/>
            <w:vAlign w:val="center"/>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质保限</w:t>
            </w:r>
          </w:p>
        </w:tc>
        <w:tc>
          <w:tcPr>
            <w:tcW w:w="1134" w:type="dxa"/>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p>
        </w:tc>
        <w:tc>
          <w:tcPr>
            <w:tcW w:w="5167" w:type="dxa"/>
            <w:vAlign w:val="center"/>
          </w:tcPr>
          <w:p w:rsidR="0014739F" w:rsidRPr="008F4333" w:rsidRDefault="0014739F" w:rsidP="0066374C">
            <w:pPr>
              <w:autoSpaceDE w:val="0"/>
              <w:autoSpaceDN w:val="0"/>
              <w:adjustRightInd w:val="0"/>
              <w:snapToGrid w:val="0"/>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不少于</w:t>
            </w:r>
            <w:r w:rsidRPr="008F4333">
              <w:rPr>
                <w:rFonts w:ascii="宋体" w:hAnsi="宋体" w:cs="宋体"/>
                <w:snapToGrid w:val="0"/>
                <w:color w:val="000000"/>
                <w:kern w:val="0"/>
                <w:szCs w:val="21"/>
                <w:lang w:val="zh-CN"/>
              </w:rPr>
              <w:t>5</w:t>
            </w:r>
            <w:r w:rsidRPr="008F4333">
              <w:rPr>
                <w:rFonts w:ascii="宋体" w:hAnsi="宋体" w:cs="宋体" w:hint="eastAsia"/>
                <w:snapToGrid w:val="0"/>
                <w:color w:val="000000"/>
                <w:kern w:val="0"/>
                <w:szCs w:val="21"/>
                <w:lang w:val="zh-CN"/>
              </w:rPr>
              <w:t>年</w:t>
            </w:r>
            <w:r w:rsidRPr="008F4333">
              <w:rPr>
                <w:rFonts w:ascii="宋体" w:hAnsi="宋体" w:cs="宋体"/>
                <w:snapToGrid w:val="0"/>
                <w:color w:val="000000"/>
                <w:kern w:val="0"/>
                <w:szCs w:val="21"/>
                <w:lang w:val="zh-CN"/>
              </w:rPr>
              <w:t xml:space="preserve"> </w:t>
            </w:r>
          </w:p>
        </w:tc>
      </w:tr>
      <w:tr w:rsidR="0014739F" w:rsidRPr="008F4333" w:rsidTr="0066374C">
        <w:trPr>
          <w:jc w:val="center"/>
        </w:trPr>
        <w:tc>
          <w:tcPr>
            <w:tcW w:w="645" w:type="dxa"/>
            <w:vAlign w:val="center"/>
          </w:tcPr>
          <w:p w:rsidR="0014739F" w:rsidRPr="008F4333" w:rsidRDefault="0014739F" w:rsidP="0066374C">
            <w:pPr>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3</w:t>
            </w:r>
          </w:p>
        </w:tc>
        <w:tc>
          <w:tcPr>
            <w:tcW w:w="1776" w:type="dxa"/>
            <w:vAlign w:val="center"/>
          </w:tcPr>
          <w:p w:rsidR="0014739F" w:rsidRPr="008F4333" w:rsidRDefault="0014739F" w:rsidP="0066374C">
            <w:pPr>
              <w:widowControl/>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售后</w:t>
            </w:r>
          </w:p>
          <w:p w:rsidR="0014739F" w:rsidRPr="008F4333" w:rsidRDefault="0014739F" w:rsidP="0066374C">
            <w:pPr>
              <w:widowControl/>
              <w:autoSpaceDE w:val="0"/>
              <w:autoSpaceDN w:val="0"/>
              <w:adjustRightInd w:val="0"/>
              <w:snapToGrid w:val="0"/>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服务承诺</w:t>
            </w:r>
          </w:p>
        </w:tc>
        <w:tc>
          <w:tcPr>
            <w:tcW w:w="1134" w:type="dxa"/>
            <w:vAlign w:val="center"/>
          </w:tcPr>
          <w:p w:rsidR="0014739F" w:rsidRPr="008F4333" w:rsidRDefault="0014739F" w:rsidP="0066374C">
            <w:pPr>
              <w:widowControl/>
              <w:autoSpaceDE w:val="0"/>
              <w:autoSpaceDN w:val="0"/>
              <w:adjustRightInd w:val="0"/>
              <w:snapToGrid w:val="0"/>
              <w:jc w:val="center"/>
              <w:rPr>
                <w:rFonts w:ascii="宋体" w:hAnsi="宋体" w:cs="宋体"/>
                <w:snapToGrid w:val="0"/>
                <w:color w:val="000000"/>
                <w:kern w:val="0"/>
                <w:szCs w:val="21"/>
                <w:lang w:val="zh-CN"/>
              </w:rPr>
            </w:pPr>
          </w:p>
        </w:tc>
        <w:tc>
          <w:tcPr>
            <w:tcW w:w="5167" w:type="dxa"/>
          </w:tcPr>
          <w:p w:rsidR="0014739F" w:rsidRPr="008F4333" w:rsidRDefault="0014739F" w:rsidP="0066374C">
            <w:pPr>
              <w:widowControl/>
              <w:autoSpaceDE w:val="0"/>
              <w:autoSpaceDN w:val="0"/>
              <w:adjustRightInd w:val="0"/>
              <w:snapToGrid w:val="0"/>
              <w:jc w:val="left"/>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不少于伍年免费保修；非硬件故障</w:t>
            </w:r>
            <w:r w:rsidRPr="008F4333">
              <w:rPr>
                <w:rFonts w:ascii="宋体" w:hAnsi="宋体" w:cs="宋体"/>
                <w:snapToGrid w:val="0"/>
                <w:color w:val="000000"/>
                <w:kern w:val="0"/>
                <w:szCs w:val="21"/>
                <w:lang w:val="zh-CN"/>
              </w:rPr>
              <w:t>2</w:t>
            </w:r>
            <w:r w:rsidRPr="008F4333">
              <w:rPr>
                <w:rFonts w:ascii="宋体" w:hAnsi="宋体" w:cs="宋体" w:hint="eastAsia"/>
                <w:snapToGrid w:val="0"/>
                <w:color w:val="000000"/>
                <w:kern w:val="0"/>
                <w:szCs w:val="21"/>
                <w:lang w:val="zh-CN"/>
              </w:rPr>
              <w:t>小时内恢复，硬件故障8小时内恢复，提供备品备件库支持；提供至少伍年的售后服务承诺函。</w:t>
            </w:r>
          </w:p>
        </w:tc>
      </w:tr>
      <w:tr w:rsidR="0014739F" w:rsidRPr="008F4333" w:rsidTr="0066374C">
        <w:trPr>
          <w:trHeight w:val="1108"/>
          <w:jc w:val="center"/>
        </w:trPr>
        <w:tc>
          <w:tcPr>
            <w:tcW w:w="645" w:type="dxa"/>
            <w:vAlign w:val="center"/>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4</w:t>
            </w:r>
          </w:p>
        </w:tc>
        <w:tc>
          <w:tcPr>
            <w:tcW w:w="1776" w:type="dxa"/>
            <w:vAlign w:val="center"/>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服务标准</w:t>
            </w:r>
          </w:p>
        </w:tc>
        <w:tc>
          <w:tcPr>
            <w:tcW w:w="1134" w:type="dxa"/>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p>
        </w:tc>
        <w:tc>
          <w:tcPr>
            <w:tcW w:w="5167" w:type="dxa"/>
          </w:tcPr>
          <w:p w:rsidR="0014739F" w:rsidRPr="008F4333" w:rsidRDefault="0014739F" w:rsidP="0014739F">
            <w:pPr>
              <w:widowControl/>
              <w:autoSpaceDE w:val="0"/>
              <w:autoSpaceDN w:val="0"/>
              <w:adjustRightInd w:val="0"/>
              <w:snapToGrid w:val="0"/>
              <w:spacing w:beforeLines="50" w:before="156" w:afterLines="50" w:after="156"/>
              <w:jc w:val="left"/>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要求供应商必须为本项目中所有的设备提供全年7×24小时驻场服务，明确到人，晚班值班人员不得无故离岗、脱岗。质保期到期后，维保价格参考现场招标谈判结果。</w:t>
            </w:r>
          </w:p>
        </w:tc>
      </w:tr>
      <w:tr w:rsidR="0014739F" w:rsidRPr="008F4333" w:rsidTr="0066374C">
        <w:trPr>
          <w:jc w:val="center"/>
        </w:trPr>
        <w:tc>
          <w:tcPr>
            <w:tcW w:w="645" w:type="dxa"/>
            <w:vAlign w:val="center"/>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5</w:t>
            </w:r>
          </w:p>
        </w:tc>
        <w:tc>
          <w:tcPr>
            <w:tcW w:w="1776" w:type="dxa"/>
            <w:vAlign w:val="center"/>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培训</w:t>
            </w:r>
          </w:p>
        </w:tc>
        <w:tc>
          <w:tcPr>
            <w:tcW w:w="1134" w:type="dxa"/>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p>
        </w:tc>
        <w:tc>
          <w:tcPr>
            <w:tcW w:w="5167" w:type="dxa"/>
          </w:tcPr>
          <w:p w:rsidR="0014739F" w:rsidRPr="008F4333" w:rsidRDefault="0014739F" w:rsidP="0014739F">
            <w:pPr>
              <w:widowControl/>
              <w:autoSpaceDE w:val="0"/>
              <w:autoSpaceDN w:val="0"/>
              <w:adjustRightInd w:val="0"/>
              <w:snapToGrid w:val="0"/>
              <w:spacing w:beforeLines="50" w:before="156" w:afterLines="50" w:after="156"/>
              <w:jc w:val="left"/>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提供不低于一次原厂工程师培训服务（甲方现场），场地、交通等与培训相关的费用均由成交供应商承担。</w:t>
            </w:r>
          </w:p>
        </w:tc>
      </w:tr>
      <w:tr w:rsidR="0014739F" w:rsidRPr="008F4333" w:rsidTr="0066374C">
        <w:trPr>
          <w:jc w:val="center"/>
        </w:trPr>
        <w:tc>
          <w:tcPr>
            <w:tcW w:w="645" w:type="dxa"/>
            <w:vAlign w:val="center"/>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6</w:t>
            </w:r>
          </w:p>
        </w:tc>
        <w:tc>
          <w:tcPr>
            <w:tcW w:w="1776" w:type="dxa"/>
            <w:vAlign w:val="center"/>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验收标准</w:t>
            </w:r>
          </w:p>
        </w:tc>
        <w:tc>
          <w:tcPr>
            <w:tcW w:w="1134" w:type="dxa"/>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p>
        </w:tc>
        <w:tc>
          <w:tcPr>
            <w:tcW w:w="5167" w:type="dxa"/>
          </w:tcPr>
          <w:p w:rsidR="0014739F" w:rsidRPr="008F4333" w:rsidRDefault="0014739F" w:rsidP="0014739F">
            <w:pPr>
              <w:widowControl/>
              <w:autoSpaceDE w:val="0"/>
              <w:autoSpaceDN w:val="0"/>
              <w:adjustRightInd w:val="0"/>
              <w:snapToGrid w:val="0"/>
              <w:spacing w:beforeLines="50" w:before="156" w:afterLines="50" w:after="156"/>
              <w:jc w:val="left"/>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所有参数功能满足要求，项目验收资料齐全。</w:t>
            </w:r>
          </w:p>
        </w:tc>
      </w:tr>
      <w:tr w:rsidR="0014739F" w:rsidRPr="008F4333" w:rsidTr="0066374C">
        <w:trPr>
          <w:trHeight w:val="66"/>
          <w:jc w:val="center"/>
        </w:trPr>
        <w:tc>
          <w:tcPr>
            <w:tcW w:w="645" w:type="dxa"/>
            <w:vAlign w:val="center"/>
          </w:tcPr>
          <w:p w:rsidR="0014739F" w:rsidRPr="008F4333" w:rsidRDefault="0014739F" w:rsidP="0014739F">
            <w:pPr>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lastRenderedPageBreak/>
              <w:t>7</w:t>
            </w:r>
          </w:p>
        </w:tc>
        <w:tc>
          <w:tcPr>
            <w:tcW w:w="1776" w:type="dxa"/>
            <w:vAlign w:val="center"/>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付款方式</w:t>
            </w:r>
          </w:p>
        </w:tc>
        <w:tc>
          <w:tcPr>
            <w:tcW w:w="1134" w:type="dxa"/>
          </w:tcPr>
          <w:p w:rsidR="0014739F" w:rsidRPr="008F4333" w:rsidRDefault="0014739F" w:rsidP="0014739F">
            <w:pPr>
              <w:widowControl/>
              <w:autoSpaceDE w:val="0"/>
              <w:autoSpaceDN w:val="0"/>
              <w:adjustRightInd w:val="0"/>
              <w:snapToGrid w:val="0"/>
              <w:spacing w:beforeLines="50" w:before="156" w:afterLines="50" w:after="156"/>
              <w:jc w:val="center"/>
              <w:rPr>
                <w:rFonts w:ascii="宋体" w:hAnsi="宋体" w:cs="宋体"/>
                <w:snapToGrid w:val="0"/>
                <w:color w:val="000000"/>
                <w:kern w:val="0"/>
                <w:szCs w:val="21"/>
                <w:lang w:val="zh-CN"/>
              </w:rPr>
            </w:pPr>
          </w:p>
        </w:tc>
        <w:tc>
          <w:tcPr>
            <w:tcW w:w="5167" w:type="dxa"/>
          </w:tcPr>
          <w:p w:rsidR="0014739F" w:rsidRPr="008F4333" w:rsidRDefault="0014739F" w:rsidP="0014739F">
            <w:pPr>
              <w:widowControl/>
              <w:autoSpaceDE w:val="0"/>
              <w:autoSpaceDN w:val="0"/>
              <w:adjustRightInd w:val="0"/>
              <w:snapToGrid w:val="0"/>
              <w:spacing w:beforeLines="50" w:before="156" w:afterLines="50" w:after="156"/>
              <w:jc w:val="left"/>
              <w:rPr>
                <w:rFonts w:ascii="宋体" w:hAnsi="宋体" w:cs="宋体"/>
                <w:snapToGrid w:val="0"/>
                <w:color w:val="000000"/>
                <w:kern w:val="0"/>
                <w:szCs w:val="21"/>
                <w:lang w:val="zh-CN"/>
              </w:rPr>
            </w:pPr>
            <w:r w:rsidRPr="008F4333">
              <w:rPr>
                <w:rFonts w:ascii="宋体" w:hAnsi="宋体" w:cs="宋体" w:hint="eastAsia"/>
                <w:snapToGrid w:val="0"/>
                <w:color w:val="000000"/>
                <w:kern w:val="0"/>
                <w:szCs w:val="21"/>
                <w:lang w:val="zh-CN"/>
              </w:rPr>
              <w:t>合同签订生效后2个月内，甲方向乙方支付合同总金额的</w:t>
            </w:r>
            <w:r w:rsidRPr="008F4333">
              <w:rPr>
                <w:rFonts w:ascii="宋体" w:hAnsi="宋体" w:cs="宋体"/>
                <w:snapToGrid w:val="0"/>
                <w:color w:val="000000"/>
                <w:kern w:val="0"/>
                <w:szCs w:val="21"/>
                <w:lang w:val="zh-CN"/>
              </w:rPr>
              <w:t>30%</w:t>
            </w:r>
            <w:r w:rsidRPr="008F4333">
              <w:rPr>
                <w:rFonts w:ascii="宋体" w:hAnsi="宋体" w:cs="宋体" w:hint="eastAsia"/>
                <w:snapToGrid w:val="0"/>
                <w:color w:val="000000"/>
                <w:kern w:val="0"/>
                <w:szCs w:val="21"/>
                <w:lang w:val="zh-CN"/>
              </w:rPr>
              <w:t>，项目竣工验收合格后2个月内</w:t>
            </w:r>
            <w:r w:rsidRPr="008F4333">
              <w:rPr>
                <w:rFonts w:ascii="宋体" w:hAnsi="宋体" w:cs="宋体"/>
                <w:snapToGrid w:val="0"/>
                <w:color w:val="000000"/>
                <w:kern w:val="0"/>
                <w:szCs w:val="21"/>
                <w:lang w:val="zh-CN"/>
              </w:rPr>
              <w:t>,</w:t>
            </w:r>
            <w:r w:rsidRPr="008F4333">
              <w:rPr>
                <w:rFonts w:ascii="宋体" w:hAnsi="宋体" w:cs="宋体" w:hint="eastAsia"/>
                <w:snapToGrid w:val="0"/>
                <w:color w:val="000000"/>
                <w:kern w:val="0"/>
                <w:szCs w:val="21"/>
                <w:lang w:val="zh-CN"/>
              </w:rPr>
              <w:t>甲方向乙方支付合同总金额的</w:t>
            </w:r>
            <w:r w:rsidRPr="008F4333">
              <w:rPr>
                <w:rFonts w:ascii="宋体" w:hAnsi="宋体" w:cs="宋体"/>
                <w:snapToGrid w:val="0"/>
                <w:color w:val="000000"/>
                <w:kern w:val="0"/>
                <w:szCs w:val="21"/>
                <w:lang w:val="zh-CN"/>
              </w:rPr>
              <w:t>50%</w:t>
            </w:r>
            <w:r w:rsidRPr="008F4333">
              <w:rPr>
                <w:rFonts w:ascii="宋体" w:hAnsi="宋体" w:cs="宋体" w:hint="eastAsia"/>
                <w:snapToGrid w:val="0"/>
                <w:color w:val="000000"/>
                <w:kern w:val="0"/>
                <w:szCs w:val="21"/>
                <w:lang w:val="zh-CN"/>
              </w:rPr>
              <w:t>。</w:t>
            </w:r>
          </w:p>
          <w:p w:rsidR="0014739F" w:rsidRPr="008F4333" w:rsidRDefault="0014739F" w:rsidP="0014739F">
            <w:pPr>
              <w:widowControl/>
              <w:autoSpaceDE w:val="0"/>
              <w:autoSpaceDN w:val="0"/>
              <w:adjustRightInd w:val="0"/>
              <w:snapToGrid w:val="0"/>
              <w:spacing w:beforeLines="50" w:before="156" w:afterLines="50" w:after="156"/>
              <w:jc w:val="left"/>
              <w:rPr>
                <w:rFonts w:ascii="宋体" w:hAnsi="宋体" w:cs="宋体" w:hint="eastAsia"/>
                <w:snapToGrid w:val="0"/>
                <w:color w:val="000000"/>
                <w:kern w:val="0"/>
                <w:szCs w:val="21"/>
                <w:lang w:val="zh-CN"/>
              </w:rPr>
            </w:pPr>
            <w:r w:rsidRPr="008F4333">
              <w:rPr>
                <w:rFonts w:ascii="宋体" w:hAnsi="宋体" w:cs="宋体" w:hint="eastAsia"/>
                <w:snapToGrid w:val="0"/>
                <w:color w:val="000000"/>
                <w:kern w:val="0"/>
                <w:szCs w:val="21"/>
                <w:lang w:val="zh-CN"/>
              </w:rPr>
              <w:t>尾款支付时间：2</w:t>
            </w:r>
            <w:r w:rsidRPr="008F4333">
              <w:rPr>
                <w:rFonts w:ascii="宋体" w:hAnsi="宋体" w:cs="宋体"/>
                <w:snapToGrid w:val="0"/>
                <w:color w:val="000000"/>
                <w:kern w:val="0"/>
                <w:szCs w:val="21"/>
                <w:lang w:val="zh-CN"/>
              </w:rPr>
              <w:t>0%</w:t>
            </w:r>
            <w:r w:rsidRPr="008F4333">
              <w:rPr>
                <w:rFonts w:ascii="宋体" w:hAnsi="宋体" w:cs="宋体" w:hint="eastAsia"/>
                <w:snapToGrid w:val="0"/>
                <w:color w:val="000000"/>
                <w:kern w:val="0"/>
                <w:szCs w:val="21"/>
                <w:lang w:val="zh-CN"/>
              </w:rPr>
              <w:t>尾款在设备能够正常使用，且乙方能够履行本合同约定义务的情况下，填写付款证明，自入库之日起1年后2个月内付清。</w:t>
            </w:r>
          </w:p>
        </w:tc>
      </w:tr>
    </w:tbl>
    <w:p w:rsidR="0014739F" w:rsidRPr="008F4333" w:rsidRDefault="0014739F" w:rsidP="0014739F">
      <w:pPr>
        <w:spacing w:beforeLines="50" w:before="156" w:afterLines="50" w:after="156" w:line="360" w:lineRule="auto"/>
        <w:ind w:firstLine="493"/>
        <w:jc w:val="left"/>
        <w:outlineLvl w:val="0"/>
        <w:rPr>
          <w:rFonts w:ascii="宋体" w:hAnsi="宋体"/>
          <w:b/>
          <w:color w:val="000000"/>
        </w:rPr>
      </w:pPr>
      <w:r w:rsidRPr="008F4333">
        <w:rPr>
          <w:rFonts w:ascii="宋体" w:hAnsi="宋体" w:hint="eastAsia"/>
          <w:b/>
          <w:color w:val="000000"/>
        </w:rPr>
        <w:t>特定资格条件</w:t>
      </w:r>
    </w:p>
    <w:p w:rsidR="0014739F" w:rsidRPr="008F4333" w:rsidRDefault="0014739F" w:rsidP="0014739F">
      <w:pPr>
        <w:ind w:firstLine="495"/>
        <w:jc w:val="left"/>
        <w:rPr>
          <w:rFonts w:ascii="宋体" w:hAnsi="宋体"/>
          <w:color w:val="000000"/>
        </w:rPr>
      </w:pPr>
      <w:r w:rsidRPr="008F4333">
        <w:rPr>
          <w:rFonts w:ascii="宋体" w:hAnsi="宋体" w:hint="eastAsia"/>
          <w:color w:val="000000"/>
        </w:rPr>
        <w:t>除《中华人民共和国政府采购法》第二十二条规定的供应商应具备的条件外，</w:t>
      </w:r>
      <w:r w:rsidRPr="008F4333">
        <w:rPr>
          <w:rFonts w:ascii="宋体" w:hAnsi="宋体"/>
          <w:color w:val="000000"/>
        </w:rPr>
        <w:t>采购人可以根据采购项目的特殊要求，规定供应商的特定</w:t>
      </w:r>
      <w:r w:rsidRPr="008F4333">
        <w:rPr>
          <w:rFonts w:ascii="宋体" w:hAnsi="宋体" w:hint="eastAsia"/>
          <w:color w:val="000000"/>
        </w:rPr>
        <w:t>资格</w:t>
      </w:r>
      <w:r w:rsidRPr="008F4333">
        <w:rPr>
          <w:rFonts w:ascii="宋体" w:hAnsi="宋体"/>
          <w:color w:val="000000"/>
        </w:rPr>
        <w:t>条件，</w:t>
      </w:r>
      <w:r w:rsidRPr="008F4333">
        <w:rPr>
          <w:rFonts w:ascii="宋体" w:hAnsi="宋体" w:hint="eastAsia"/>
          <w:color w:val="000000"/>
        </w:rPr>
        <w:t>如国家或行业强制性标准等。</w:t>
      </w:r>
      <w:r w:rsidRPr="008F4333">
        <w:rPr>
          <w:rFonts w:ascii="宋体" w:hAnsi="宋体"/>
          <w:color w:val="000000"/>
        </w:rPr>
        <w:t>但不得以不合理的条件对供应商实行差别待遇或者歧视待遇。</w:t>
      </w:r>
    </w:p>
    <w:p w:rsidR="0014739F" w:rsidRPr="008F4333" w:rsidRDefault="0014739F" w:rsidP="0014739F">
      <w:pPr>
        <w:spacing w:beforeLines="50" w:before="156" w:afterLines="50" w:after="156"/>
        <w:rPr>
          <w:rFonts w:ascii="宋体" w:hAnsi="宋体"/>
          <w:color w:val="000000"/>
        </w:rPr>
      </w:pPr>
      <w:r w:rsidRPr="008F4333">
        <w:rPr>
          <w:rFonts w:ascii="宋体" w:hAnsi="宋体" w:hint="eastAsia"/>
          <w:color w:val="000000"/>
        </w:rPr>
        <w:t>无</w:t>
      </w:r>
    </w:p>
    <w:p w:rsidR="0014739F" w:rsidRPr="008F4333" w:rsidRDefault="0014739F" w:rsidP="0014739F">
      <w:pPr>
        <w:spacing w:line="560" w:lineRule="exact"/>
        <w:ind w:right="600" w:firstLineChars="1750" w:firstLine="4200"/>
        <w:rPr>
          <w:rFonts w:ascii="宋体" w:hAnsi="宋体"/>
          <w:color w:val="000000"/>
          <w:sz w:val="24"/>
        </w:rPr>
      </w:pPr>
      <w:r w:rsidRPr="008F4333">
        <w:rPr>
          <w:rFonts w:ascii="宋体" w:hAnsi="宋体" w:hint="eastAsia"/>
          <w:color w:val="000000"/>
          <w:sz w:val="24"/>
        </w:rPr>
        <w:t>申购单位（公章）：</w:t>
      </w:r>
    </w:p>
    <w:p w:rsidR="0014739F" w:rsidRPr="008F4333" w:rsidRDefault="0014739F" w:rsidP="0014739F">
      <w:pPr>
        <w:spacing w:line="560" w:lineRule="exact"/>
        <w:ind w:right="600"/>
        <w:jc w:val="center"/>
        <w:rPr>
          <w:rFonts w:ascii="宋体" w:hAnsi="宋体"/>
          <w:color w:val="000000"/>
          <w:sz w:val="24"/>
        </w:rPr>
      </w:pPr>
      <w:r w:rsidRPr="008F4333">
        <w:rPr>
          <w:rFonts w:ascii="宋体" w:hAnsi="宋体"/>
          <w:color w:val="000000"/>
          <w:sz w:val="24"/>
        </w:rPr>
        <w:t xml:space="preserve">                  </w:t>
      </w:r>
      <w:r w:rsidRPr="008F4333">
        <w:rPr>
          <w:rFonts w:ascii="宋体" w:hAnsi="宋体" w:hint="eastAsia"/>
          <w:color w:val="000000"/>
          <w:sz w:val="24"/>
        </w:rPr>
        <w:t xml:space="preserve">  或项目负责人（签字）：</w:t>
      </w:r>
    </w:p>
    <w:p w:rsidR="0014739F" w:rsidRPr="008F4333" w:rsidRDefault="0014739F" w:rsidP="0014739F">
      <w:pPr>
        <w:spacing w:line="360" w:lineRule="auto"/>
        <w:ind w:firstLine="495"/>
        <w:jc w:val="center"/>
        <w:rPr>
          <w:rFonts w:ascii="宋体" w:hAnsi="宋体" w:hint="eastAsia"/>
          <w:color w:val="000000"/>
          <w:sz w:val="24"/>
        </w:rPr>
      </w:pPr>
      <w:r w:rsidRPr="008F4333">
        <w:rPr>
          <w:rFonts w:ascii="宋体" w:hAnsi="宋体"/>
          <w:color w:val="000000"/>
          <w:sz w:val="24"/>
        </w:rPr>
        <w:t xml:space="preserve">                                  </w:t>
      </w:r>
      <w:r w:rsidRPr="008F4333">
        <w:rPr>
          <w:rFonts w:ascii="宋体" w:hAnsi="宋体"/>
          <w:color w:val="000000"/>
          <w:sz w:val="24"/>
          <w:u w:val="single"/>
        </w:rPr>
        <w:t xml:space="preserve">    </w:t>
      </w:r>
      <w:r w:rsidRPr="008F4333">
        <w:rPr>
          <w:rFonts w:ascii="宋体" w:hAnsi="宋体" w:hint="eastAsia"/>
          <w:color w:val="000000"/>
          <w:sz w:val="24"/>
        </w:rPr>
        <w:t>年</w:t>
      </w:r>
      <w:r w:rsidRPr="008F4333">
        <w:rPr>
          <w:rFonts w:ascii="宋体" w:hAnsi="宋体"/>
          <w:color w:val="000000"/>
          <w:sz w:val="24"/>
          <w:u w:val="single"/>
        </w:rPr>
        <w:t xml:space="preserve">  </w:t>
      </w:r>
      <w:r w:rsidRPr="008F4333">
        <w:rPr>
          <w:rFonts w:ascii="宋体" w:hAnsi="宋体" w:hint="eastAsia"/>
          <w:color w:val="000000"/>
          <w:sz w:val="24"/>
        </w:rPr>
        <w:t>月</w:t>
      </w:r>
      <w:r w:rsidRPr="008F4333">
        <w:rPr>
          <w:rFonts w:ascii="宋体" w:hAnsi="宋体"/>
          <w:color w:val="000000"/>
          <w:sz w:val="24"/>
          <w:u w:val="single"/>
        </w:rPr>
        <w:t xml:space="preserve">  </w:t>
      </w:r>
      <w:r w:rsidRPr="008F4333">
        <w:rPr>
          <w:rFonts w:ascii="宋体" w:hAnsi="宋体" w:hint="eastAsia"/>
          <w:color w:val="000000"/>
          <w:sz w:val="24"/>
        </w:rPr>
        <w:t>日</w:t>
      </w:r>
    </w:p>
    <w:p w:rsidR="0014739F" w:rsidRPr="008F4333" w:rsidRDefault="0014739F" w:rsidP="0014739F">
      <w:pPr>
        <w:spacing w:line="360" w:lineRule="auto"/>
        <w:ind w:firstLine="495"/>
        <w:jc w:val="center"/>
        <w:rPr>
          <w:rFonts w:ascii="宋体" w:hAnsi="宋体" w:hint="eastAsia"/>
          <w:color w:val="000000"/>
          <w:sz w:val="24"/>
        </w:rPr>
      </w:pPr>
    </w:p>
    <w:p w:rsidR="0014739F" w:rsidRPr="008F4333" w:rsidRDefault="0014739F" w:rsidP="0014739F">
      <w:pPr>
        <w:spacing w:line="360" w:lineRule="auto"/>
        <w:ind w:firstLine="495"/>
        <w:jc w:val="center"/>
        <w:rPr>
          <w:rFonts w:ascii="宋体" w:hAnsi="宋体" w:hint="eastAsia"/>
          <w:color w:val="000000"/>
          <w:sz w:val="24"/>
        </w:rPr>
      </w:pPr>
    </w:p>
    <w:p w:rsidR="0014739F" w:rsidRPr="008F4333" w:rsidRDefault="0014739F" w:rsidP="0014739F">
      <w:pPr>
        <w:spacing w:line="360" w:lineRule="auto"/>
        <w:ind w:firstLine="495"/>
        <w:jc w:val="center"/>
        <w:rPr>
          <w:rFonts w:ascii="宋体" w:hAnsi="宋体" w:hint="eastAsia"/>
          <w:color w:val="000000"/>
          <w:sz w:val="24"/>
        </w:rPr>
      </w:pPr>
    </w:p>
    <w:p w:rsidR="0014739F" w:rsidRPr="008F4333" w:rsidRDefault="0014739F" w:rsidP="0014739F">
      <w:pPr>
        <w:spacing w:line="360" w:lineRule="auto"/>
        <w:ind w:firstLine="495"/>
        <w:jc w:val="center"/>
        <w:rPr>
          <w:rFonts w:ascii="宋体" w:hAnsi="宋体" w:hint="eastAsia"/>
          <w:color w:val="000000"/>
          <w:sz w:val="24"/>
        </w:rPr>
      </w:pPr>
    </w:p>
    <w:p w:rsidR="0014739F" w:rsidRPr="008F4333" w:rsidRDefault="0014739F" w:rsidP="0014739F">
      <w:pPr>
        <w:spacing w:line="360" w:lineRule="auto"/>
        <w:ind w:firstLine="495"/>
        <w:jc w:val="center"/>
        <w:rPr>
          <w:rFonts w:ascii="宋体" w:hAnsi="宋体" w:hint="eastAsia"/>
          <w:color w:val="000000"/>
          <w:sz w:val="24"/>
        </w:rPr>
      </w:pPr>
    </w:p>
    <w:p w:rsidR="0014739F" w:rsidRPr="008F4333" w:rsidRDefault="0014739F" w:rsidP="0014739F">
      <w:pPr>
        <w:spacing w:line="360" w:lineRule="auto"/>
        <w:ind w:firstLine="495"/>
        <w:jc w:val="center"/>
        <w:rPr>
          <w:rFonts w:ascii="宋体" w:hAnsi="宋体" w:hint="eastAsia"/>
          <w:color w:val="000000"/>
          <w:sz w:val="24"/>
        </w:rPr>
      </w:pPr>
    </w:p>
    <w:p w:rsidR="00627536" w:rsidRDefault="00627536">
      <w:bookmarkStart w:id="0" w:name="_GoBack"/>
      <w:bookmarkEnd w:id="0"/>
    </w:p>
    <w:sectPr w:rsidR="00627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C5250"/>
    <w:multiLevelType w:val="hybridMultilevel"/>
    <w:tmpl w:val="361E98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41F0783"/>
    <w:multiLevelType w:val="hybridMultilevel"/>
    <w:tmpl w:val="BA46B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77"/>
    <w:rsid w:val="0014739F"/>
    <w:rsid w:val="00627536"/>
    <w:rsid w:val="0080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4739F"/>
    <w:rPr>
      <w:rFonts w:ascii="Calibri" w:eastAsia="宋体" w:hAnsi="Calibri" w:cs="Times New Roman"/>
      <w:kern w:val="0"/>
      <w:sz w:val="22"/>
    </w:rPr>
  </w:style>
  <w:style w:type="character" w:customStyle="1" w:styleId="Char">
    <w:name w:val="无间隔 Char"/>
    <w:link w:val="a3"/>
    <w:uiPriority w:val="1"/>
    <w:rsid w:val="0014739F"/>
    <w:rPr>
      <w:rFonts w:ascii="Calibri" w:eastAsia="宋体" w:hAnsi="Calibri" w:cs="Times New Roman"/>
      <w:kern w:val="0"/>
      <w:sz w:val="22"/>
    </w:rPr>
  </w:style>
  <w:style w:type="paragraph" w:styleId="a4">
    <w:name w:val="Plain Text"/>
    <w:basedOn w:val="a"/>
    <w:link w:val="Char0"/>
    <w:qFormat/>
    <w:rsid w:val="0014739F"/>
    <w:rPr>
      <w:rFonts w:ascii="宋体" w:hAnsi="Courier New"/>
      <w:szCs w:val="21"/>
    </w:rPr>
  </w:style>
  <w:style w:type="character" w:customStyle="1" w:styleId="Char0">
    <w:name w:val="纯文本 Char"/>
    <w:basedOn w:val="a0"/>
    <w:link w:val="a4"/>
    <w:qFormat/>
    <w:rsid w:val="0014739F"/>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4739F"/>
    <w:rPr>
      <w:rFonts w:ascii="Calibri" w:eastAsia="宋体" w:hAnsi="Calibri" w:cs="Times New Roman"/>
      <w:kern w:val="0"/>
      <w:sz w:val="22"/>
    </w:rPr>
  </w:style>
  <w:style w:type="character" w:customStyle="1" w:styleId="Char">
    <w:name w:val="无间隔 Char"/>
    <w:link w:val="a3"/>
    <w:uiPriority w:val="1"/>
    <w:rsid w:val="0014739F"/>
    <w:rPr>
      <w:rFonts w:ascii="Calibri" w:eastAsia="宋体" w:hAnsi="Calibri" w:cs="Times New Roman"/>
      <w:kern w:val="0"/>
      <w:sz w:val="22"/>
    </w:rPr>
  </w:style>
  <w:style w:type="paragraph" w:styleId="a4">
    <w:name w:val="Plain Text"/>
    <w:basedOn w:val="a"/>
    <w:link w:val="Char0"/>
    <w:qFormat/>
    <w:rsid w:val="0014739F"/>
    <w:rPr>
      <w:rFonts w:ascii="宋体" w:hAnsi="Courier New"/>
      <w:szCs w:val="21"/>
    </w:rPr>
  </w:style>
  <w:style w:type="character" w:customStyle="1" w:styleId="Char0">
    <w:name w:val="纯文本 Char"/>
    <w:basedOn w:val="a0"/>
    <w:link w:val="a4"/>
    <w:qFormat/>
    <w:rsid w:val="0014739F"/>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江苏大学附属医院（江滨医院）(填报)</dc:creator>
  <cp:keywords/>
  <dc:description/>
  <cp:lastModifiedBy>江苏大学附属医院（江滨医院）(填报)</cp:lastModifiedBy>
  <cp:revision>2</cp:revision>
  <dcterms:created xsi:type="dcterms:W3CDTF">2024-08-01T02:18:00Z</dcterms:created>
  <dcterms:modified xsi:type="dcterms:W3CDTF">2024-08-01T02:18:00Z</dcterms:modified>
</cp:coreProperties>
</file>