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二次供水水箱清洗消毒项目</w:t>
      </w:r>
      <w:r>
        <w:rPr>
          <w:rFonts w:hint="eastAsia" w:ascii="方正小标宋简体" w:hAnsi="仿宋" w:eastAsia="方正小标宋简体"/>
          <w:sz w:val="44"/>
          <w:szCs w:val="44"/>
          <w:lang w:eastAsia="zh-CN"/>
        </w:rPr>
        <w:t>比价方案</w:t>
      </w:r>
    </w:p>
    <w:p>
      <w:pPr>
        <w:ind w:firstLine="640" w:firstLineChars="200"/>
        <w:rPr>
          <w:rFonts w:hint="eastAsia" w:ascii="黑体" w:hAnsi="黑体" w:eastAsia="黑体"/>
          <w:sz w:val="32"/>
          <w:szCs w:val="32"/>
        </w:rPr>
      </w:pPr>
      <w:r>
        <w:rPr>
          <w:rFonts w:hint="eastAsia" w:ascii="仿宋" w:hAnsi="仿宋" w:eastAsia="仿宋"/>
          <w:sz w:val="32"/>
          <w:szCs w:val="32"/>
        </w:rPr>
        <w:t>二次供水水箱清洗消毒项目比价方案</w:t>
      </w:r>
      <w:r>
        <w:rPr>
          <w:rFonts w:ascii="仿宋" w:hAnsi="仿宋" w:eastAsia="仿宋"/>
          <w:color w:val="000000" w:themeColor="text1"/>
          <w:sz w:val="32"/>
        </w:rPr>
        <w:t>具体要求如下：</w:t>
      </w:r>
    </w:p>
    <w:p>
      <w:pPr>
        <w:adjustRightInd w:val="0"/>
        <w:spacing w:line="480" w:lineRule="exact"/>
        <w:ind w:firstLine="643" w:firstLineChars="200"/>
        <w:jc w:val="left"/>
        <w:rPr>
          <w:rFonts w:ascii="仿宋" w:hAnsi="仿宋" w:eastAsia="仿宋"/>
          <w:b/>
          <w:color w:val="000000" w:themeColor="text1"/>
          <w:sz w:val="32"/>
        </w:rPr>
      </w:pPr>
      <w:r>
        <w:rPr>
          <w:rFonts w:hint="eastAsia" w:ascii="仿宋" w:hAnsi="仿宋" w:eastAsia="仿宋"/>
          <w:b/>
          <w:color w:val="000000" w:themeColor="text1"/>
          <w:sz w:val="32"/>
        </w:rPr>
        <w:t>一、项目概况及要求：</w:t>
      </w:r>
    </w:p>
    <w:p>
      <w:pPr>
        <w:ind w:firstLine="640" w:firstLineChars="200"/>
        <w:rPr>
          <w:rFonts w:ascii="仿宋" w:hAnsi="仿宋" w:eastAsia="仿宋"/>
          <w:color w:val="000000" w:themeColor="text1"/>
          <w:sz w:val="32"/>
          <w:szCs w:val="32"/>
        </w:rPr>
      </w:pPr>
      <w:r>
        <w:rPr>
          <w:rFonts w:hint="eastAsia" w:ascii="仿宋" w:hAnsi="仿宋" w:eastAsia="仿宋"/>
          <w:sz w:val="32"/>
          <w:szCs w:val="32"/>
          <w:lang w:val="en-US" w:eastAsia="zh-CN"/>
        </w:rPr>
        <w:t>1.</w:t>
      </w:r>
      <w:r>
        <w:rPr>
          <w:rFonts w:hint="eastAsia" w:ascii="仿宋" w:hAnsi="仿宋" w:eastAsia="仿宋"/>
          <w:sz w:val="32"/>
          <w:szCs w:val="32"/>
        </w:rPr>
        <w:t>江苏大学附属医院二次供水水箱共有三处，位于院区外科楼</w:t>
      </w:r>
      <w:r>
        <w:rPr>
          <w:rFonts w:hint="eastAsia" w:ascii="仿宋" w:hAnsi="仿宋" w:eastAsia="仿宋"/>
          <w:sz w:val="32"/>
          <w:szCs w:val="32"/>
          <w:lang w:eastAsia="zh-CN"/>
        </w:rPr>
        <w:t>地下室</w:t>
      </w:r>
      <w:r>
        <w:rPr>
          <w:rFonts w:hint="eastAsia" w:ascii="仿宋" w:hAnsi="仿宋" w:eastAsia="仿宋"/>
          <w:sz w:val="32"/>
          <w:szCs w:val="32"/>
          <w:lang w:val="en-US" w:eastAsia="zh-CN"/>
        </w:rPr>
        <w:t>(</w:t>
      </w:r>
      <w:r>
        <w:rPr>
          <w:rFonts w:hint="eastAsia" w:ascii="仿宋" w:hAnsi="仿宋" w:eastAsia="仿宋"/>
          <w:sz w:val="32"/>
          <w:szCs w:val="32"/>
        </w:rPr>
        <w:t>容积150㎥</w:t>
      </w:r>
      <w:r>
        <w:rPr>
          <w:rFonts w:hint="eastAsia" w:ascii="仿宋" w:hAnsi="仿宋" w:eastAsia="仿宋"/>
          <w:sz w:val="32"/>
          <w:szCs w:val="32"/>
          <w:lang w:val="en-US" w:eastAsia="zh-CN"/>
        </w:rPr>
        <w:t>)</w:t>
      </w:r>
      <w:r>
        <w:rPr>
          <w:rFonts w:hint="eastAsia" w:ascii="仿宋" w:hAnsi="仿宋" w:eastAsia="仿宋"/>
          <w:sz w:val="32"/>
          <w:szCs w:val="32"/>
        </w:rPr>
        <w:t>、内科楼</w:t>
      </w:r>
      <w:r>
        <w:rPr>
          <w:rFonts w:hint="eastAsia" w:ascii="仿宋" w:hAnsi="仿宋" w:eastAsia="仿宋"/>
          <w:sz w:val="32"/>
          <w:szCs w:val="32"/>
          <w:lang w:eastAsia="zh-CN"/>
        </w:rPr>
        <w:t>地下室</w:t>
      </w:r>
      <w:r>
        <w:rPr>
          <w:rFonts w:hint="eastAsia" w:ascii="仿宋" w:hAnsi="仿宋" w:eastAsia="仿宋"/>
          <w:sz w:val="32"/>
          <w:szCs w:val="32"/>
          <w:lang w:val="en-US" w:eastAsia="zh-CN"/>
        </w:rPr>
        <w:t>(</w:t>
      </w:r>
      <w:r>
        <w:rPr>
          <w:rFonts w:hint="eastAsia" w:ascii="仿宋" w:hAnsi="仿宋" w:eastAsia="仿宋"/>
          <w:sz w:val="32"/>
          <w:szCs w:val="32"/>
        </w:rPr>
        <w:t>容积</w:t>
      </w:r>
      <w:r>
        <w:rPr>
          <w:rFonts w:hint="eastAsia" w:ascii="仿宋" w:hAnsi="仿宋" w:eastAsia="仿宋"/>
          <w:sz w:val="32"/>
          <w:szCs w:val="32"/>
          <w:lang w:val="en-US" w:eastAsia="zh-CN"/>
        </w:rPr>
        <w:t>80</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和母婴楼</w:t>
      </w:r>
      <w:r>
        <w:rPr>
          <w:rFonts w:hint="eastAsia" w:ascii="仿宋" w:hAnsi="仿宋" w:eastAsia="仿宋"/>
          <w:sz w:val="32"/>
          <w:szCs w:val="32"/>
          <w:lang w:eastAsia="zh-CN"/>
        </w:rPr>
        <w:t>楼顶</w:t>
      </w:r>
      <w:r>
        <w:rPr>
          <w:rFonts w:hint="eastAsia" w:ascii="仿宋" w:hAnsi="仿宋" w:eastAsia="仿宋"/>
          <w:sz w:val="32"/>
          <w:szCs w:val="32"/>
          <w:lang w:val="en-US" w:eastAsia="zh-CN"/>
        </w:rPr>
        <w:t>(</w:t>
      </w:r>
      <w:r>
        <w:rPr>
          <w:rFonts w:hint="eastAsia" w:ascii="仿宋" w:hAnsi="仿宋" w:eastAsia="仿宋"/>
          <w:sz w:val="32"/>
          <w:szCs w:val="32"/>
        </w:rPr>
        <w:t>容积50㎥</w:t>
      </w:r>
      <w:r>
        <w:rPr>
          <w:rFonts w:hint="eastAsia" w:ascii="仿宋" w:hAnsi="仿宋" w:eastAsia="仿宋"/>
          <w:sz w:val="32"/>
          <w:szCs w:val="32"/>
          <w:lang w:val="en-US" w:eastAsia="zh-CN"/>
        </w:rPr>
        <w:t>)</w:t>
      </w:r>
      <w:bookmarkStart w:id="0" w:name="_GoBack"/>
      <w:bookmarkEnd w:id="0"/>
      <w:r>
        <w:rPr>
          <w:rFonts w:hint="eastAsia" w:ascii="仿宋" w:hAnsi="仿宋" w:eastAsia="仿宋"/>
          <w:sz w:val="32"/>
          <w:szCs w:val="32"/>
        </w:rPr>
        <w:t>，按二次供水设施卫生规范要求对三处供水水箱进行清洗消毒并出具有资质的第三方检测合格报告。</w:t>
      </w:r>
    </w:p>
    <w:p>
      <w:pPr>
        <w:adjustRightInd w:val="0"/>
        <w:ind w:firstLine="600" w:firstLineChars="200"/>
        <w:rPr>
          <w:rFonts w:ascii="仿宋" w:hAnsi="仿宋" w:eastAsia="仿宋"/>
          <w:sz w:val="30"/>
          <w:szCs w:val="30"/>
        </w:rPr>
      </w:pPr>
      <w:r>
        <w:rPr>
          <w:rFonts w:hint="eastAsia" w:ascii="仿宋" w:hAnsi="仿宋" w:eastAsia="仿宋"/>
          <w:sz w:val="30"/>
          <w:szCs w:val="30"/>
        </w:rPr>
        <w:t>2.现场自行勘察或与联系人联系勘察现场。</w:t>
      </w:r>
    </w:p>
    <w:p>
      <w:pPr>
        <w:adjustRightInd w:val="0"/>
        <w:ind w:firstLine="600" w:firstLineChars="200"/>
        <w:rPr>
          <w:rFonts w:ascii="仿宋" w:hAnsi="仿宋" w:eastAsia="仿宋"/>
          <w:sz w:val="30"/>
          <w:szCs w:val="30"/>
        </w:rPr>
      </w:pPr>
      <w:r>
        <w:rPr>
          <w:rFonts w:hint="eastAsia" w:ascii="仿宋" w:hAnsi="仿宋" w:eastAsia="仿宋"/>
          <w:sz w:val="30"/>
          <w:szCs w:val="30"/>
        </w:rPr>
        <w:t>3.施工方案由施工单位自拟，确保</w:t>
      </w:r>
      <w:r>
        <w:rPr>
          <w:rFonts w:hint="eastAsia" w:ascii="仿宋" w:hAnsi="仿宋" w:eastAsia="仿宋"/>
          <w:sz w:val="30"/>
          <w:szCs w:val="30"/>
          <w:lang w:eastAsia="zh-CN"/>
        </w:rPr>
        <w:t>清洗</w:t>
      </w:r>
      <w:r>
        <w:rPr>
          <w:rFonts w:hint="eastAsia" w:ascii="仿宋" w:hAnsi="仿宋" w:eastAsia="仿宋"/>
          <w:sz w:val="30"/>
          <w:szCs w:val="30"/>
        </w:rPr>
        <w:t>质量和施工安全。</w:t>
      </w:r>
    </w:p>
    <w:p>
      <w:pPr>
        <w:adjustRightInd w:val="0"/>
        <w:ind w:firstLine="600" w:firstLineChars="200"/>
        <w:rPr>
          <w:rFonts w:ascii="仿宋" w:hAnsi="仿宋" w:eastAsia="仿宋"/>
          <w:sz w:val="30"/>
          <w:szCs w:val="30"/>
        </w:rPr>
      </w:pPr>
      <w:r>
        <w:rPr>
          <w:rFonts w:hint="eastAsia" w:ascii="仿宋" w:hAnsi="仿宋" w:eastAsia="仿宋"/>
          <w:sz w:val="30"/>
          <w:szCs w:val="30"/>
        </w:rPr>
        <w:t>4.</w:t>
      </w:r>
      <w:r>
        <w:rPr>
          <w:rFonts w:hint="eastAsia" w:ascii="仿宋" w:hAnsi="仿宋" w:eastAsia="仿宋" w:cs="宋体"/>
          <w:kern w:val="0"/>
          <w:sz w:val="30"/>
          <w:szCs w:val="30"/>
        </w:rPr>
        <w:t>按行业规程施工，</w:t>
      </w:r>
      <w:r>
        <w:rPr>
          <w:rFonts w:hint="eastAsia" w:ascii="仿宋" w:hAnsi="仿宋" w:eastAsia="仿宋" w:cs="宋体"/>
          <w:kern w:val="0"/>
          <w:sz w:val="32"/>
          <w:szCs w:val="32"/>
        </w:rPr>
        <w:t>服从院方安排，</w:t>
      </w:r>
      <w:r>
        <w:rPr>
          <w:rFonts w:hint="eastAsia" w:ascii="仿宋" w:hAnsi="仿宋" w:eastAsia="仿宋" w:cs="宋体"/>
          <w:kern w:val="0"/>
          <w:sz w:val="30"/>
          <w:szCs w:val="30"/>
        </w:rPr>
        <w:t>质保期为</w:t>
      </w:r>
      <w:r>
        <w:rPr>
          <w:rFonts w:hint="eastAsia" w:ascii="仿宋" w:hAnsi="仿宋" w:eastAsia="仿宋" w:cs="宋体"/>
          <w:kern w:val="0"/>
          <w:sz w:val="30"/>
          <w:szCs w:val="30"/>
          <w:lang w:eastAsia="zh-CN"/>
        </w:rPr>
        <w:t>半</w:t>
      </w:r>
      <w:r>
        <w:rPr>
          <w:rFonts w:hint="eastAsia" w:ascii="仿宋" w:hAnsi="仿宋" w:eastAsia="仿宋" w:cs="宋体"/>
          <w:kern w:val="0"/>
          <w:sz w:val="30"/>
          <w:szCs w:val="30"/>
        </w:rPr>
        <w:t>年。（以验收之日起计）</w:t>
      </w:r>
      <w:r>
        <w:rPr>
          <w:rFonts w:hint="eastAsia" w:ascii="仿宋" w:hAnsi="仿宋" w:eastAsia="仿宋"/>
          <w:sz w:val="30"/>
          <w:szCs w:val="30"/>
        </w:rPr>
        <w:t>。</w:t>
      </w:r>
    </w:p>
    <w:p>
      <w:pPr>
        <w:adjustRightInd w:val="0"/>
        <w:ind w:firstLine="600" w:firstLineChars="200"/>
        <w:rPr>
          <w:rFonts w:ascii="仿宋" w:hAnsi="仿宋" w:eastAsia="仿宋" w:cs="宋体"/>
          <w:kern w:val="0"/>
          <w:sz w:val="30"/>
          <w:szCs w:val="30"/>
        </w:rPr>
      </w:pPr>
      <w:r>
        <w:rPr>
          <w:rFonts w:hint="eastAsia" w:ascii="仿宋" w:hAnsi="仿宋" w:eastAsia="仿宋" w:cs="宋体"/>
          <w:kern w:val="0"/>
          <w:sz w:val="30"/>
          <w:szCs w:val="30"/>
        </w:rPr>
        <w:t>5.接到中标通知后，工期</w:t>
      </w:r>
      <w:r>
        <w:rPr>
          <w:rFonts w:hint="eastAsia" w:ascii="仿宋" w:hAnsi="仿宋" w:eastAsia="仿宋" w:cs="宋体"/>
          <w:kern w:val="0"/>
          <w:sz w:val="30"/>
          <w:szCs w:val="30"/>
          <w:lang w:val="en-US" w:eastAsia="zh-CN"/>
        </w:rPr>
        <w:t>1</w:t>
      </w:r>
      <w:r>
        <w:rPr>
          <w:rFonts w:hint="eastAsia" w:ascii="仿宋" w:hAnsi="仿宋" w:eastAsia="仿宋" w:cs="宋体"/>
          <w:kern w:val="0"/>
          <w:sz w:val="30"/>
          <w:szCs w:val="30"/>
        </w:rPr>
        <w:t>天完成</w:t>
      </w:r>
      <w:r>
        <w:rPr>
          <w:rFonts w:hint="eastAsia" w:ascii="仿宋" w:hAnsi="仿宋" w:eastAsia="仿宋"/>
          <w:sz w:val="30"/>
          <w:szCs w:val="30"/>
          <w:lang w:eastAsia="zh-CN"/>
        </w:rPr>
        <w:t>，时间服从甲方安排</w:t>
      </w:r>
      <w:r>
        <w:rPr>
          <w:rFonts w:hint="eastAsia" w:ascii="仿宋" w:hAnsi="仿宋" w:eastAsia="仿宋" w:cs="宋体"/>
          <w:kern w:val="0"/>
          <w:sz w:val="30"/>
          <w:szCs w:val="30"/>
        </w:rPr>
        <w:t>。</w:t>
      </w:r>
    </w:p>
    <w:p>
      <w:pPr>
        <w:adjustRightInd w:val="0"/>
        <w:ind w:firstLine="600" w:firstLineChars="200"/>
        <w:rPr>
          <w:rFonts w:ascii="仿宋" w:hAnsi="仿宋" w:eastAsia="仿宋" w:cs="宋体"/>
          <w:kern w:val="0"/>
          <w:sz w:val="30"/>
          <w:szCs w:val="30"/>
        </w:rPr>
      </w:pPr>
      <w:r>
        <w:rPr>
          <w:rFonts w:hint="eastAsia" w:ascii="仿宋" w:hAnsi="仿宋" w:eastAsia="仿宋" w:cs="宋体"/>
          <w:kern w:val="0"/>
          <w:sz w:val="30"/>
          <w:szCs w:val="30"/>
        </w:rPr>
        <w:t>6.施工期间安全责任由中标单位自行负责,发生任何安全事故与招标单位无关。</w:t>
      </w:r>
    </w:p>
    <w:p>
      <w:pPr>
        <w:adjustRightInd w:val="0"/>
        <w:ind w:firstLine="600" w:firstLineChars="200"/>
        <w:rPr>
          <w:rFonts w:ascii="仿宋" w:hAnsi="仿宋" w:eastAsia="仿宋" w:cs="宋体"/>
          <w:kern w:val="0"/>
          <w:sz w:val="30"/>
          <w:szCs w:val="30"/>
        </w:rPr>
      </w:pPr>
      <w:r>
        <w:rPr>
          <w:rFonts w:hint="eastAsia" w:ascii="仿宋" w:hAnsi="仿宋" w:eastAsia="仿宋" w:cs="宋体"/>
          <w:kern w:val="0"/>
          <w:sz w:val="30"/>
          <w:szCs w:val="30"/>
        </w:rPr>
        <w:t>7.如需登高作业，须提供施工人员在有效期内的登高作业证和身份证复印件。</w:t>
      </w:r>
    </w:p>
    <w:p>
      <w:pPr>
        <w:numPr>
          <w:ilvl w:val="0"/>
          <w:numId w:val="0"/>
        </w:numPr>
        <w:ind w:firstLine="640" w:firstLineChars="200"/>
        <w:rPr>
          <w:rFonts w:ascii="仿宋" w:hAnsi="仿宋" w:eastAsia="仿宋"/>
          <w:sz w:val="32"/>
          <w:szCs w:val="32"/>
          <w:lang w:val="zh-CN"/>
        </w:rPr>
      </w:pPr>
      <w:r>
        <w:rPr>
          <w:rFonts w:hint="eastAsia" w:ascii="仿宋" w:hAnsi="仿宋" w:eastAsia="仿宋"/>
          <w:sz w:val="32"/>
          <w:szCs w:val="32"/>
          <w:lang w:val="en-US" w:eastAsia="zh-CN"/>
        </w:rPr>
        <w:t>8.</w:t>
      </w:r>
      <w:r>
        <w:rPr>
          <w:rFonts w:hint="eastAsia" w:ascii="仿宋" w:hAnsi="仿宋" w:eastAsia="仿宋"/>
          <w:sz w:val="32"/>
          <w:szCs w:val="32"/>
          <w:lang w:val="zh-CN"/>
        </w:rPr>
        <w:t>清洗、消毒人员需取得从业人员预防性健康检查合格证明，</w:t>
      </w:r>
      <w:r>
        <w:rPr>
          <w:rFonts w:hint="eastAsia" w:ascii="仿宋" w:hAnsi="仿宋" w:eastAsia="仿宋"/>
          <w:color w:val="auto"/>
          <w:sz w:val="32"/>
          <w:szCs w:val="32"/>
          <w:lang w:val="zh-CN"/>
        </w:rPr>
        <w:t>并在施工前提供院方查验。</w:t>
      </w:r>
    </w:p>
    <w:p>
      <w:pPr>
        <w:adjustRightInd w:val="0"/>
        <w:ind w:firstLine="640" w:firstLineChars="200"/>
        <w:rPr>
          <w:rFonts w:hint="eastAsia" w:ascii="仿宋" w:hAnsi="仿宋" w:eastAsia="仿宋"/>
          <w:sz w:val="32"/>
          <w:szCs w:val="32"/>
          <w:lang w:val="zh-CN"/>
        </w:rPr>
      </w:pPr>
      <w:r>
        <w:rPr>
          <w:rFonts w:hint="eastAsia" w:ascii="仿宋" w:hAnsi="仿宋" w:eastAsia="仿宋"/>
          <w:sz w:val="32"/>
          <w:szCs w:val="32"/>
          <w:lang w:val="en-US" w:eastAsia="zh-CN"/>
        </w:rPr>
        <w:t>9.</w:t>
      </w:r>
      <w:r>
        <w:rPr>
          <w:rFonts w:hint="eastAsia" w:ascii="仿宋" w:hAnsi="仿宋" w:eastAsia="仿宋"/>
          <w:sz w:val="32"/>
          <w:szCs w:val="32"/>
          <w:lang w:val="zh-CN"/>
        </w:rPr>
        <w:t>水质检测报告必测项目：色度、pH、浑浊度、臭和味、肉眼可见物、氯气及游离氯制剂（游离氯）、菌落总数、总大肠菌群。</w:t>
      </w:r>
    </w:p>
    <w:p>
      <w:pPr>
        <w:adjustRightInd w:val="0"/>
        <w:ind w:firstLine="600" w:firstLineChars="200"/>
        <w:rPr>
          <w:rFonts w:ascii="仿宋" w:hAnsi="仿宋" w:eastAsia="仿宋" w:cs="宋体"/>
          <w:kern w:val="0"/>
          <w:sz w:val="30"/>
          <w:szCs w:val="30"/>
        </w:rPr>
      </w:pPr>
      <w:r>
        <w:rPr>
          <w:rFonts w:hint="eastAsia" w:ascii="仿宋" w:hAnsi="仿宋" w:eastAsia="仿宋" w:cs="宋体"/>
          <w:kern w:val="0"/>
          <w:sz w:val="30"/>
          <w:szCs w:val="30"/>
          <w:lang w:val="en-US" w:eastAsia="zh-CN"/>
        </w:rPr>
        <w:t>10</w:t>
      </w:r>
      <w:r>
        <w:rPr>
          <w:rFonts w:hint="eastAsia" w:ascii="仿宋" w:hAnsi="仿宋" w:eastAsia="仿宋" w:cs="宋体"/>
          <w:kern w:val="0"/>
          <w:sz w:val="30"/>
          <w:szCs w:val="30"/>
        </w:rPr>
        <w:t>.验收标准：</w:t>
      </w:r>
      <w:r>
        <w:rPr>
          <w:rFonts w:hint="eastAsia" w:ascii="仿宋" w:hAnsi="仿宋" w:eastAsia="仿宋"/>
          <w:sz w:val="32"/>
          <w:szCs w:val="32"/>
          <w:lang w:val="zh-CN"/>
        </w:rPr>
        <w:t>清洗、消毒后的水池无泥沙、无水垢，清洗后的水质必须符合国家《生活饮用水卫生标准》的要求。</w:t>
      </w:r>
    </w:p>
    <w:p>
      <w:pPr>
        <w:numPr>
          <w:ilvl w:val="0"/>
          <w:numId w:val="0"/>
        </w:numPr>
        <w:ind w:firstLine="600" w:firstLineChars="200"/>
        <w:rPr>
          <w:rFonts w:hint="eastAsia" w:ascii="仿宋" w:hAnsi="仿宋" w:eastAsia="仿宋"/>
          <w:sz w:val="32"/>
          <w:szCs w:val="32"/>
          <w:lang w:val="zh-CN"/>
        </w:rPr>
      </w:pPr>
      <w:r>
        <w:rPr>
          <w:rFonts w:hint="eastAsia" w:ascii="仿宋" w:hAnsi="仿宋" w:eastAsia="仿宋" w:cs="宋体"/>
          <w:kern w:val="0"/>
          <w:sz w:val="30"/>
          <w:szCs w:val="30"/>
          <w:lang w:val="en-US" w:eastAsia="zh-CN"/>
        </w:rPr>
        <w:t>11</w:t>
      </w:r>
      <w:r>
        <w:rPr>
          <w:rFonts w:hint="eastAsia" w:ascii="仿宋" w:hAnsi="仿宋" w:eastAsia="仿宋" w:cs="宋体"/>
          <w:kern w:val="0"/>
          <w:sz w:val="30"/>
          <w:szCs w:val="30"/>
        </w:rPr>
        <w:t>.费用结算：经验收合格，三个月后一次性结算。</w:t>
      </w:r>
    </w:p>
    <w:p>
      <w:pPr>
        <w:adjustRightInd w:val="0"/>
        <w:spacing w:line="480" w:lineRule="exact"/>
        <w:ind w:firstLine="643" w:firstLineChars="200"/>
        <w:jc w:val="left"/>
        <w:rPr>
          <w:rFonts w:hint="eastAsia" w:ascii="仿宋" w:hAnsi="仿宋" w:eastAsia="仿宋"/>
          <w:b/>
          <w:color w:val="000000" w:themeColor="text1"/>
          <w:sz w:val="32"/>
        </w:rPr>
      </w:pPr>
      <w:r>
        <w:rPr>
          <w:rFonts w:hint="eastAsia" w:ascii="仿宋" w:hAnsi="仿宋" w:eastAsia="仿宋"/>
          <w:b/>
          <w:color w:val="000000" w:themeColor="text1"/>
          <w:sz w:val="32"/>
        </w:rPr>
        <w:t>二、比价方案：</w:t>
      </w:r>
    </w:p>
    <w:p>
      <w:pPr>
        <w:ind w:firstLine="640" w:firstLineChars="200"/>
        <w:rPr>
          <w:rFonts w:hint="eastAsia" w:ascii="仿宋" w:hAnsi="仿宋" w:eastAsia="仿宋" w:cs="宋体"/>
          <w:color w:val="000000" w:themeColor="text1"/>
          <w:kern w:val="0"/>
          <w:sz w:val="32"/>
        </w:rPr>
      </w:pPr>
      <w:r>
        <w:rPr>
          <w:rFonts w:ascii="仿宋" w:hAnsi="仿宋" w:eastAsia="仿宋" w:cs="宋体"/>
          <w:color w:val="000000" w:themeColor="text1"/>
          <w:kern w:val="0"/>
          <w:sz w:val="32"/>
        </w:rPr>
        <w:t>采用现场比价排序方式，</w:t>
      </w:r>
      <w:r>
        <w:rPr>
          <w:rFonts w:hint="eastAsia" w:ascii="仿宋" w:hAnsi="仿宋" w:eastAsia="仿宋" w:cs="宋体"/>
          <w:color w:val="000000" w:themeColor="text1"/>
          <w:kern w:val="0"/>
          <w:sz w:val="32"/>
        </w:rPr>
        <w:t>一轮报价，</w:t>
      </w:r>
      <w:r>
        <w:rPr>
          <w:rFonts w:ascii="仿宋" w:hAnsi="仿宋" w:eastAsia="仿宋" w:cs="宋体"/>
          <w:color w:val="000000" w:themeColor="text1"/>
          <w:kern w:val="0"/>
          <w:sz w:val="32"/>
        </w:rPr>
        <w:t>各报价单位须提准备好营业执照、品牌授权（如有需提供）、项目报价（一次性报价），用文件袋密封包装</w:t>
      </w:r>
      <w:r>
        <w:rPr>
          <w:rFonts w:hint="eastAsia" w:ascii="仿宋" w:hAnsi="仿宋" w:eastAsia="仿宋" w:cs="宋体"/>
          <w:color w:val="000000" w:themeColor="text1"/>
          <w:kern w:val="0"/>
          <w:sz w:val="32"/>
        </w:rPr>
        <w:t>送至</w:t>
      </w:r>
      <w:r>
        <w:rPr>
          <w:rFonts w:ascii="仿宋" w:hAnsi="仿宋" w:eastAsia="仿宋" w:cs="宋体"/>
          <w:color w:val="000000" w:themeColor="text1"/>
          <w:kern w:val="0"/>
          <w:sz w:val="32"/>
        </w:rPr>
        <w:t>指定地点</w:t>
      </w:r>
      <w:r>
        <w:rPr>
          <w:rFonts w:hint="eastAsia" w:ascii="仿宋" w:hAnsi="仿宋" w:eastAsia="仿宋" w:cs="宋体"/>
          <w:color w:val="000000" w:themeColor="text1"/>
          <w:kern w:val="0"/>
          <w:sz w:val="32"/>
        </w:rPr>
        <w:t>。</w:t>
      </w:r>
    </w:p>
    <w:p>
      <w:pPr>
        <w:ind w:firstLine="643" w:firstLineChars="200"/>
        <w:rPr>
          <w:rFonts w:ascii="仿宋" w:hAnsi="仿宋" w:eastAsia="仿宋"/>
          <w:sz w:val="32"/>
          <w:szCs w:val="32"/>
        </w:rPr>
      </w:pPr>
      <w:r>
        <w:rPr>
          <w:rFonts w:hint="eastAsia" w:ascii="仿宋" w:hAnsi="仿宋" w:eastAsia="仿宋"/>
          <w:b/>
          <w:color w:val="000000" w:themeColor="text1"/>
          <w:sz w:val="32"/>
        </w:rPr>
        <w:t>三、投标人资质要求：</w:t>
      </w:r>
    </w:p>
    <w:p>
      <w:pPr>
        <w:pStyle w:val="5"/>
        <w:shd w:val="clear" w:color="auto" w:fill="FFFFFF"/>
        <w:spacing w:before="0" w:beforeAutospacing="0" w:after="0" w:afterAutospacing="0"/>
        <w:ind w:firstLine="540"/>
        <w:rPr>
          <w:rFonts w:ascii="仿宋" w:hAnsi="仿宋" w:eastAsia="仿宋"/>
          <w:color w:val="000000" w:themeColor="text1"/>
          <w:sz w:val="32"/>
          <w:szCs w:val="32"/>
        </w:rPr>
      </w:pPr>
      <w:r>
        <w:rPr>
          <w:rFonts w:hint="eastAsia" w:ascii="仿宋" w:hAnsi="仿宋" w:eastAsia="仿宋"/>
          <w:color w:val="000000" w:themeColor="text1"/>
          <w:sz w:val="32"/>
          <w:szCs w:val="32"/>
        </w:rPr>
        <w:t>1.具有独立法人资格，持有效的营业执照，经营范围包含本项目的内容（做过类似项目的公司可优先考虑）;</w:t>
      </w:r>
    </w:p>
    <w:p>
      <w:pPr>
        <w:pStyle w:val="5"/>
        <w:shd w:val="clear" w:color="auto" w:fill="FFFFFF"/>
        <w:spacing w:before="0" w:beforeAutospacing="0" w:after="0" w:afterAutospacing="0"/>
        <w:ind w:firstLine="540"/>
        <w:rPr>
          <w:rFonts w:ascii="仿宋" w:hAnsi="仿宋" w:eastAsia="仿宋"/>
          <w:color w:val="000000" w:themeColor="text1"/>
          <w:sz w:val="32"/>
          <w:szCs w:val="32"/>
        </w:rPr>
      </w:pPr>
      <w:r>
        <w:rPr>
          <w:rFonts w:hint="eastAsia" w:ascii="仿宋" w:hAnsi="仿宋" w:eastAsia="仿宋"/>
          <w:color w:val="000000" w:themeColor="text1"/>
          <w:sz w:val="32"/>
          <w:szCs w:val="32"/>
        </w:rPr>
        <w:t>2.第三方检测公司需有生活饮用水质检测的CMA资质，并提供资质证明；</w:t>
      </w:r>
    </w:p>
    <w:p>
      <w:pPr>
        <w:pStyle w:val="5"/>
        <w:shd w:val="clear" w:color="auto" w:fill="FFFFFF"/>
        <w:spacing w:before="0" w:beforeAutospacing="0" w:after="0" w:afterAutospacing="0"/>
        <w:ind w:firstLine="540"/>
        <w:rPr>
          <w:rFonts w:ascii="仿宋" w:hAnsi="仿宋" w:eastAsia="仿宋"/>
          <w:color w:val="000000" w:themeColor="text1"/>
          <w:sz w:val="32"/>
          <w:szCs w:val="32"/>
        </w:rPr>
      </w:pPr>
      <w:r>
        <w:rPr>
          <w:rFonts w:hint="eastAsia" w:ascii="仿宋" w:hAnsi="仿宋" w:eastAsia="仿宋"/>
          <w:color w:val="000000" w:themeColor="text1"/>
          <w:sz w:val="32"/>
          <w:szCs w:val="32"/>
        </w:rPr>
        <w:t>3.本项目不接受联合体投标，不得转包、分包；</w:t>
      </w:r>
    </w:p>
    <w:p>
      <w:pPr>
        <w:pStyle w:val="5"/>
        <w:shd w:val="clear" w:color="auto" w:fill="FFFFFF"/>
        <w:spacing w:before="0" w:beforeAutospacing="0" w:after="0" w:afterAutospacing="0"/>
        <w:ind w:firstLine="540"/>
        <w:rPr>
          <w:rFonts w:ascii="仿宋" w:hAnsi="仿宋" w:eastAsia="仿宋"/>
          <w:color w:val="000000" w:themeColor="text1"/>
          <w:sz w:val="32"/>
          <w:szCs w:val="32"/>
        </w:rPr>
      </w:pPr>
      <w:r>
        <w:rPr>
          <w:rFonts w:hint="eastAsia" w:ascii="仿宋" w:hAnsi="仿宋" w:eastAsia="仿宋"/>
          <w:color w:val="000000" w:themeColor="text1"/>
          <w:sz w:val="32"/>
          <w:szCs w:val="32"/>
        </w:rPr>
        <w:t>4.法律、行政法规规定的其他条件。</w:t>
      </w:r>
    </w:p>
    <w:p>
      <w:pPr>
        <w:adjustRightInd w:val="0"/>
        <w:spacing w:line="480" w:lineRule="exact"/>
        <w:ind w:firstLine="643" w:firstLineChars="200"/>
        <w:jc w:val="left"/>
        <w:rPr>
          <w:rFonts w:ascii="仿宋" w:hAnsi="仿宋" w:eastAsia="仿宋"/>
          <w:b/>
          <w:color w:val="000000" w:themeColor="text1"/>
          <w:sz w:val="32"/>
        </w:rPr>
      </w:pPr>
      <w:r>
        <w:rPr>
          <w:rFonts w:hint="eastAsia" w:ascii="仿宋" w:hAnsi="仿宋" w:eastAsia="仿宋"/>
          <w:b/>
          <w:color w:val="000000" w:themeColor="text1"/>
          <w:sz w:val="32"/>
        </w:rPr>
        <w:t>四、资格审查方式及特殊情况说明：</w:t>
      </w:r>
    </w:p>
    <w:p>
      <w:pPr>
        <w:adjustRightInd w:val="0"/>
        <w:spacing w:line="480" w:lineRule="exact"/>
        <w:ind w:firstLine="640" w:firstLineChars="200"/>
        <w:jc w:val="left"/>
        <w:rPr>
          <w:rFonts w:ascii="仿宋" w:hAnsi="仿宋" w:eastAsia="仿宋"/>
          <w:color w:val="000000" w:themeColor="text1"/>
          <w:sz w:val="32"/>
        </w:rPr>
      </w:pPr>
      <w:r>
        <w:rPr>
          <w:rFonts w:hint="eastAsia" w:ascii="仿宋" w:hAnsi="仿宋" w:eastAsia="仿宋"/>
          <w:color w:val="000000" w:themeColor="text1"/>
          <w:sz w:val="32"/>
        </w:rPr>
        <w:t>本次采用资格后审方式。</w:t>
      </w:r>
    </w:p>
    <w:p>
      <w:pPr>
        <w:pStyle w:val="5"/>
        <w:shd w:val="clear" w:color="auto" w:fill="FFFFFF"/>
        <w:adjustRightInd w:val="0"/>
        <w:spacing w:before="0" w:beforeAutospacing="0" w:after="0" w:afterAutospacing="0"/>
        <w:ind w:left="0"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pPr>
        <w:pStyle w:val="5"/>
        <w:shd w:val="clear" w:color="auto" w:fill="FFFFFF"/>
        <w:adjustRightInd w:val="0"/>
        <w:spacing w:before="0" w:beforeAutospacing="0" w:after="0" w:afterAutospacing="0"/>
        <w:ind w:left="0" w:firstLine="600" w:firstLineChars="200"/>
        <w:jc w:val="both"/>
        <w:rPr>
          <w:rFonts w:ascii="仿宋" w:hAnsi="仿宋" w:eastAsia="仿宋"/>
          <w:sz w:val="30"/>
          <w:szCs w:val="30"/>
        </w:rPr>
      </w:pPr>
      <w:r>
        <w:rPr>
          <w:rFonts w:hint="eastAsia" w:ascii="仿宋" w:hAnsi="仿宋" w:eastAsia="仿宋"/>
          <w:sz w:val="30"/>
          <w:szCs w:val="30"/>
        </w:rPr>
        <w:t>2.满足比价文件实质性要求的单位数量仅有2家的，则现场转变采购方式，采用竞争性谈判的采购方式，确定中标单位；</w:t>
      </w:r>
    </w:p>
    <w:p>
      <w:pPr>
        <w:ind w:firstLine="600" w:firstLineChars="200"/>
        <w:rPr>
          <w:rFonts w:hint="eastAsia" w:ascii="仿宋" w:hAnsi="仿宋" w:eastAsia="仿宋"/>
          <w:sz w:val="30"/>
          <w:szCs w:val="30"/>
          <w:lang w:val="en-US" w:eastAsia="zh-CN"/>
        </w:rPr>
      </w:pPr>
      <w:r>
        <w:rPr>
          <w:rFonts w:hint="eastAsia" w:ascii="仿宋" w:hAnsi="仿宋" w:eastAsia="仿宋"/>
          <w:sz w:val="30"/>
          <w:szCs w:val="30"/>
        </w:rPr>
        <w:t>3.满足比价文件实质性要求的单位数量仅有1家的，则现场转变采购方式，采用单一来源谈判的采购方式，确定中标单位。</w:t>
      </w:r>
      <w:r>
        <w:rPr>
          <w:rFonts w:hint="eastAsia" w:ascii="仿宋" w:hAnsi="仿宋" w:eastAsia="仿宋"/>
          <w:sz w:val="30"/>
          <w:szCs w:val="30"/>
          <w:lang w:val="en-US" w:eastAsia="zh-CN"/>
        </w:rPr>
        <w:t xml:space="preserve">     </w:t>
      </w:r>
    </w:p>
    <w:p>
      <w:pPr>
        <w:ind w:firstLine="643" w:firstLineChars="200"/>
        <w:rPr>
          <w:rFonts w:hint="eastAsia" w:ascii="仿宋" w:hAnsi="仿宋" w:eastAsia="仿宋"/>
          <w:b/>
          <w:color w:val="000000" w:themeColor="text1"/>
          <w:sz w:val="32"/>
          <w:lang w:val="en-US" w:eastAsia="zh-CN"/>
        </w:rPr>
      </w:pPr>
      <w:r>
        <w:rPr>
          <w:rFonts w:hint="eastAsia" w:ascii="仿宋" w:hAnsi="仿宋" w:eastAsia="仿宋"/>
          <w:b/>
          <w:color w:val="000000" w:themeColor="text1"/>
          <w:sz w:val="32"/>
        </w:rPr>
        <w:t>五、项目参考价格：</w:t>
      </w:r>
      <w:r>
        <w:rPr>
          <w:rFonts w:hint="eastAsia" w:ascii="仿宋" w:hAnsi="仿宋" w:eastAsia="仿宋"/>
          <w:b/>
          <w:color w:val="000000" w:themeColor="text1"/>
          <w:sz w:val="32"/>
          <w:lang w:val="en-US" w:eastAsia="zh-CN"/>
        </w:rPr>
        <w:t>1万元</w:t>
      </w:r>
    </w:p>
    <w:p>
      <w:pPr>
        <w:adjustRightInd w:val="0"/>
        <w:spacing w:line="480" w:lineRule="exact"/>
        <w:ind w:firstLine="640" w:firstLineChars="200"/>
        <w:jc w:val="left"/>
        <w:rPr>
          <w:rFonts w:ascii="仿宋" w:hAnsi="仿宋" w:eastAsia="仿宋"/>
          <w:sz w:val="32"/>
          <w:szCs w:val="32"/>
        </w:rPr>
      </w:pPr>
      <w:r>
        <w:rPr>
          <w:rFonts w:hint="eastAsia" w:ascii="仿宋" w:hAnsi="仿宋" w:eastAsia="仿宋"/>
          <w:sz w:val="32"/>
          <w:szCs w:val="32"/>
        </w:rPr>
        <w:t>附：</w:t>
      </w:r>
    </w:p>
    <w:tbl>
      <w:tblPr>
        <w:tblStyle w:val="7"/>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5"/>
        <w:gridCol w:w="779"/>
        <w:gridCol w:w="10"/>
        <w:gridCol w:w="1713"/>
        <w:gridCol w:w="970"/>
        <w:gridCol w:w="993"/>
        <w:gridCol w:w="1275"/>
        <w:gridCol w:w="7"/>
        <w:gridCol w:w="1185"/>
        <w:gridCol w:w="12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7" w:hRule="atLeast"/>
        </w:trPr>
        <w:tc>
          <w:tcPr>
            <w:tcW w:w="8755" w:type="dxa"/>
            <w:gridSpan w:val="10"/>
          </w:tcPr>
          <w:p>
            <w:pPr>
              <w:jc w:val="center"/>
              <w:rPr>
                <w:rFonts w:ascii="仿宋" w:hAnsi="仿宋" w:eastAsia="仿宋"/>
                <w:sz w:val="44"/>
                <w:szCs w:val="44"/>
              </w:rPr>
            </w:pPr>
            <w:r>
              <w:rPr>
                <w:rFonts w:ascii="仿宋" w:hAnsi="仿宋" w:eastAsia="仿宋"/>
                <w:sz w:val="44"/>
                <w:szCs w:val="44"/>
              </w:rPr>
              <w:t>报价清单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 w:hRule="atLeast"/>
        </w:trPr>
        <w:tc>
          <w:tcPr>
            <w:tcW w:w="1384" w:type="dxa"/>
            <w:gridSpan w:val="2"/>
            <w:vAlign w:val="center"/>
          </w:tcPr>
          <w:p>
            <w:pPr>
              <w:jc w:val="center"/>
              <w:rPr>
                <w:rFonts w:ascii="仿宋" w:hAnsi="仿宋" w:eastAsia="仿宋"/>
                <w:sz w:val="24"/>
              </w:rPr>
            </w:pPr>
            <w:r>
              <w:rPr>
                <w:rFonts w:hint="eastAsia" w:ascii="仿宋" w:hAnsi="仿宋" w:eastAsia="仿宋"/>
                <w:sz w:val="24"/>
              </w:rPr>
              <w:t>项目</w:t>
            </w:r>
            <w:r>
              <w:rPr>
                <w:rFonts w:ascii="仿宋" w:hAnsi="仿宋" w:eastAsia="仿宋"/>
                <w:sz w:val="24"/>
              </w:rPr>
              <w:t>名称</w:t>
            </w:r>
          </w:p>
        </w:tc>
        <w:tc>
          <w:tcPr>
            <w:tcW w:w="3686" w:type="dxa"/>
            <w:gridSpan w:val="4"/>
            <w:vAlign w:val="center"/>
          </w:tcPr>
          <w:p>
            <w:pPr>
              <w:rPr>
                <w:rFonts w:ascii="仿宋" w:hAnsi="仿宋" w:eastAsia="仿宋"/>
                <w:sz w:val="24"/>
              </w:rPr>
            </w:pPr>
          </w:p>
        </w:tc>
        <w:tc>
          <w:tcPr>
            <w:tcW w:w="1275" w:type="dxa"/>
            <w:tcBorders>
              <w:bottom w:val="single" w:color="auto" w:sz="4" w:space="0"/>
            </w:tcBorders>
            <w:vAlign w:val="center"/>
          </w:tcPr>
          <w:p>
            <w:pPr>
              <w:jc w:val="center"/>
              <w:rPr>
                <w:rFonts w:ascii="仿宋" w:hAnsi="仿宋" w:eastAsia="仿宋"/>
                <w:sz w:val="24"/>
              </w:rPr>
            </w:pPr>
            <w:r>
              <w:rPr>
                <w:rFonts w:ascii="仿宋" w:hAnsi="仿宋" w:eastAsia="仿宋"/>
                <w:sz w:val="24"/>
              </w:rPr>
              <w:t>报价单位</w:t>
            </w:r>
          </w:p>
        </w:tc>
        <w:tc>
          <w:tcPr>
            <w:tcW w:w="2410" w:type="dxa"/>
            <w:gridSpan w:val="3"/>
            <w:vAlign w:val="center"/>
          </w:tcPr>
          <w:p>
            <w:pPr>
              <w:jc w:val="cente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5" w:hRule="atLeast"/>
        </w:trPr>
        <w:tc>
          <w:tcPr>
            <w:tcW w:w="605" w:type="dxa"/>
            <w:vAlign w:val="center"/>
          </w:tcPr>
          <w:p>
            <w:pPr>
              <w:jc w:val="center"/>
              <w:rPr>
                <w:rFonts w:ascii="仿宋" w:hAnsi="仿宋" w:eastAsia="仿宋"/>
                <w:sz w:val="24"/>
              </w:rPr>
            </w:pPr>
            <w:r>
              <w:rPr>
                <w:rFonts w:ascii="仿宋" w:hAnsi="仿宋" w:eastAsia="仿宋"/>
                <w:sz w:val="24"/>
              </w:rPr>
              <w:t>序号</w:t>
            </w:r>
          </w:p>
        </w:tc>
        <w:tc>
          <w:tcPr>
            <w:tcW w:w="779" w:type="dxa"/>
            <w:vAlign w:val="center"/>
          </w:tcPr>
          <w:p>
            <w:pPr>
              <w:jc w:val="center"/>
              <w:rPr>
                <w:rFonts w:ascii="仿宋" w:hAnsi="仿宋" w:eastAsia="仿宋"/>
                <w:sz w:val="24"/>
              </w:rPr>
            </w:pPr>
            <w:r>
              <w:rPr>
                <w:rFonts w:ascii="仿宋" w:hAnsi="仿宋" w:eastAsia="仿宋"/>
                <w:sz w:val="24"/>
              </w:rPr>
              <w:t>名称</w:t>
            </w:r>
          </w:p>
        </w:tc>
        <w:tc>
          <w:tcPr>
            <w:tcW w:w="1723" w:type="dxa"/>
            <w:gridSpan w:val="2"/>
            <w:vAlign w:val="center"/>
          </w:tcPr>
          <w:p>
            <w:pPr>
              <w:jc w:val="center"/>
              <w:rPr>
                <w:rFonts w:ascii="仿宋" w:hAnsi="仿宋" w:eastAsia="仿宋"/>
                <w:sz w:val="24"/>
              </w:rPr>
            </w:pPr>
            <w:r>
              <w:rPr>
                <w:rFonts w:hint="eastAsia" w:ascii="仿宋" w:hAnsi="仿宋" w:eastAsia="仿宋"/>
                <w:sz w:val="24"/>
              </w:rPr>
              <w:t>型号及规格</w:t>
            </w:r>
          </w:p>
        </w:tc>
        <w:tc>
          <w:tcPr>
            <w:tcW w:w="970" w:type="dxa"/>
            <w:vAlign w:val="center"/>
          </w:tcPr>
          <w:p>
            <w:pPr>
              <w:jc w:val="center"/>
              <w:rPr>
                <w:rFonts w:ascii="仿宋" w:hAnsi="仿宋" w:eastAsia="仿宋"/>
                <w:sz w:val="24"/>
              </w:rPr>
            </w:pPr>
            <w:r>
              <w:rPr>
                <w:rFonts w:ascii="仿宋" w:hAnsi="仿宋" w:eastAsia="仿宋"/>
                <w:sz w:val="24"/>
              </w:rPr>
              <w:t>单位</w:t>
            </w:r>
          </w:p>
        </w:tc>
        <w:tc>
          <w:tcPr>
            <w:tcW w:w="993" w:type="dxa"/>
            <w:vAlign w:val="center"/>
          </w:tcPr>
          <w:p>
            <w:pPr>
              <w:jc w:val="center"/>
              <w:rPr>
                <w:rFonts w:ascii="仿宋" w:hAnsi="仿宋" w:eastAsia="仿宋"/>
                <w:sz w:val="24"/>
              </w:rPr>
            </w:pPr>
            <w:r>
              <w:rPr>
                <w:rFonts w:hint="eastAsia" w:ascii="仿宋" w:hAnsi="仿宋" w:eastAsia="仿宋"/>
                <w:sz w:val="24"/>
              </w:rPr>
              <w:t>数量</w:t>
            </w:r>
          </w:p>
        </w:tc>
        <w:tc>
          <w:tcPr>
            <w:tcW w:w="1282" w:type="dxa"/>
            <w:gridSpan w:val="2"/>
            <w:tcBorders>
              <w:right w:val="single" w:color="auto" w:sz="4" w:space="0"/>
            </w:tcBorders>
            <w:vAlign w:val="center"/>
          </w:tcPr>
          <w:p>
            <w:pPr>
              <w:jc w:val="center"/>
              <w:rPr>
                <w:rFonts w:ascii="仿宋" w:hAnsi="仿宋" w:eastAsia="仿宋"/>
                <w:sz w:val="24"/>
              </w:rPr>
            </w:pPr>
            <w:r>
              <w:rPr>
                <w:rFonts w:hint="eastAsia" w:ascii="仿宋" w:hAnsi="仿宋" w:eastAsia="仿宋"/>
                <w:sz w:val="24"/>
              </w:rPr>
              <w:t>品牌</w:t>
            </w:r>
          </w:p>
        </w:tc>
        <w:tc>
          <w:tcPr>
            <w:tcW w:w="1185" w:type="dxa"/>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单价</w:t>
            </w:r>
          </w:p>
          <w:p>
            <w:pPr>
              <w:jc w:val="center"/>
              <w:rPr>
                <w:rFonts w:ascii="仿宋" w:hAnsi="仿宋" w:eastAsia="仿宋"/>
                <w:sz w:val="24"/>
              </w:rPr>
            </w:pPr>
            <w:r>
              <w:rPr>
                <w:rFonts w:hint="eastAsia" w:ascii="仿宋" w:hAnsi="仿宋" w:eastAsia="仿宋"/>
                <w:sz w:val="24"/>
              </w:rPr>
              <w:t>（元）</w:t>
            </w:r>
          </w:p>
        </w:tc>
        <w:tc>
          <w:tcPr>
            <w:tcW w:w="1218" w:type="dxa"/>
            <w:tcBorders>
              <w:top w:val="single" w:color="auto" w:sz="4" w:space="0"/>
              <w:left w:val="single" w:color="auto" w:sz="4" w:space="0"/>
            </w:tcBorders>
            <w:vAlign w:val="center"/>
          </w:tcPr>
          <w:p>
            <w:pPr>
              <w:jc w:val="center"/>
              <w:rPr>
                <w:rFonts w:ascii="仿宋" w:hAnsi="仿宋" w:eastAsia="仿宋"/>
                <w:sz w:val="24"/>
              </w:rPr>
            </w:pPr>
            <w:r>
              <w:rPr>
                <w:rFonts w:hint="eastAsia" w:ascii="仿宋" w:hAnsi="仿宋" w:eastAsia="仿宋"/>
                <w:sz w:val="24"/>
              </w:rPr>
              <w:t>合价</w:t>
            </w:r>
          </w:p>
          <w:p>
            <w:pPr>
              <w:jc w:val="center"/>
              <w:rPr>
                <w:rFonts w:ascii="仿宋" w:hAnsi="仿宋" w:eastAsia="仿宋"/>
                <w:sz w:val="24"/>
              </w:rPr>
            </w:pPr>
            <w:r>
              <w:rPr>
                <w:rFonts w:hint="eastAsia" w:ascii="仿宋" w:hAnsi="仿宋" w:eastAsia="仿宋"/>
                <w:sz w:val="24"/>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3" w:hRule="atLeast"/>
        </w:trPr>
        <w:tc>
          <w:tcPr>
            <w:tcW w:w="605" w:type="dxa"/>
            <w:vAlign w:val="center"/>
          </w:tcPr>
          <w:p>
            <w:pPr>
              <w:jc w:val="center"/>
              <w:rPr>
                <w:rFonts w:ascii="仿宋" w:hAnsi="仿宋" w:eastAsia="仿宋"/>
                <w:sz w:val="24"/>
              </w:rPr>
            </w:pPr>
            <w:r>
              <w:rPr>
                <w:rFonts w:hint="eastAsia" w:ascii="仿宋" w:hAnsi="仿宋" w:eastAsia="仿宋"/>
                <w:sz w:val="24"/>
              </w:rPr>
              <w:t>1</w:t>
            </w:r>
          </w:p>
        </w:tc>
        <w:tc>
          <w:tcPr>
            <w:tcW w:w="779" w:type="dxa"/>
            <w:vAlign w:val="center"/>
          </w:tcPr>
          <w:p>
            <w:pPr>
              <w:jc w:val="center"/>
              <w:rPr>
                <w:rFonts w:ascii="仿宋" w:hAnsi="仿宋" w:eastAsia="仿宋"/>
                <w:sz w:val="24"/>
              </w:rPr>
            </w:pPr>
            <w:r>
              <w:rPr>
                <w:rFonts w:hint="eastAsia" w:ascii="仿宋" w:hAnsi="仿宋" w:eastAsia="仿宋"/>
                <w:sz w:val="24"/>
              </w:rPr>
              <w:t>材料</w:t>
            </w:r>
          </w:p>
        </w:tc>
        <w:tc>
          <w:tcPr>
            <w:tcW w:w="1723" w:type="dxa"/>
            <w:gridSpan w:val="2"/>
          </w:tcPr>
          <w:p>
            <w:pPr>
              <w:rPr>
                <w:rFonts w:ascii="仿宋" w:hAnsi="仿宋" w:eastAsia="仿宋"/>
                <w:sz w:val="24"/>
              </w:rPr>
            </w:pPr>
          </w:p>
          <w:p>
            <w:pPr>
              <w:jc w:val="center"/>
              <w:rPr>
                <w:rFonts w:ascii="仿宋" w:hAnsi="仿宋" w:eastAsia="仿宋"/>
                <w:sz w:val="24"/>
              </w:rPr>
            </w:pPr>
          </w:p>
        </w:tc>
        <w:tc>
          <w:tcPr>
            <w:tcW w:w="970" w:type="dxa"/>
            <w:vAlign w:val="center"/>
          </w:tcPr>
          <w:p>
            <w:pPr>
              <w:jc w:val="center"/>
              <w:rPr>
                <w:rFonts w:ascii="仿宋" w:hAnsi="仿宋" w:eastAsia="仿宋"/>
                <w:sz w:val="24"/>
              </w:rPr>
            </w:pPr>
          </w:p>
        </w:tc>
        <w:tc>
          <w:tcPr>
            <w:tcW w:w="993" w:type="dxa"/>
            <w:vAlign w:val="center"/>
          </w:tcPr>
          <w:p>
            <w:pPr>
              <w:jc w:val="center"/>
              <w:rPr>
                <w:rFonts w:ascii="仿宋" w:hAnsi="仿宋" w:eastAsia="仿宋"/>
                <w:sz w:val="24"/>
              </w:rPr>
            </w:pPr>
          </w:p>
        </w:tc>
        <w:tc>
          <w:tcPr>
            <w:tcW w:w="1282" w:type="dxa"/>
            <w:gridSpan w:val="2"/>
            <w:tcBorders>
              <w:right w:val="single" w:color="auto" w:sz="4" w:space="0"/>
            </w:tcBorders>
            <w:vAlign w:val="center"/>
          </w:tcPr>
          <w:p>
            <w:pPr>
              <w:jc w:val="center"/>
              <w:rPr>
                <w:rFonts w:ascii="仿宋" w:hAnsi="仿宋" w:eastAsia="仿宋"/>
                <w:sz w:val="24"/>
              </w:rPr>
            </w:pPr>
          </w:p>
        </w:tc>
        <w:tc>
          <w:tcPr>
            <w:tcW w:w="1185" w:type="dxa"/>
            <w:tcBorders>
              <w:left w:val="single" w:color="auto" w:sz="4" w:space="0"/>
              <w:right w:val="single" w:color="auto" w:sz="4" w:space="0"/>
            </w:tcBorders>
            <w:vAlign w:val="center"/>
          </w:tcPr>
          <w:p>
            <w:pPr>
              <w:jc w:val="center"/>
              <w:rPr>
                <w:rFonts w:ascii="仿宋" w:hAnsi="仿宋" w:eastAsia="仿宋"/>
                <w:sz w:val="24"/>
              </w:rPr>
            </w:pPr>
          </w:p>
        </w:tc>
        <w:tc>
          <w:tcPr>
            <w:tcW w:w="1218" w:type="dxa"/>
            <w:tcBorders>
              <w:left w:val="single" w:color="auto" w:sz="4" w:space="0"/>
            </w:tcBorders>
            <w:vAlign w:val="center"/>
          </w:tcPr>
          <w:p>
            <w:pPr>
              <w:jc w:val="cente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9" w:hRule="atLeast"/>
        </w:trPr>
        <w:tc>
          <w:tcPr>
            <w:tcW w:w="605" w:type="dxa"/>
            <w:vAlign w:val="center"/>
          </w:tcPr>
          <w:p>
            <w:pPr>
              <w:jc w:val="center"/>
              <w:rPr>
                <w:rFonts w:ascii="仿宋" w:hAnsi="仿宋" w:eastAsia="仿宋"/>
                <w:sz w:val="24"/>
              </w:rPr>
            </w:pPr>
            <w:r>
              <w:rPr>
                <w:rFonts w:hint="eastAsia" w:ascii="仿宋" w:hAnsi="仿宋" w:eastAsia="仿宋"/>
                <w:sz w:val="24"/>
              </w:rPr>
              <w:t>2</w:t>
            </w:r>
          </w:p>
        </w:tc>
        <w:tc>
          <w:tcPr>
            <w:tcW w:w="779" w:type="dxa"/>
            <w:vAlign w:val="center"/>
          </w:tcPr>
          <w:p>
            <w:pPr>
              <w:jc w:val="center"/>
              <w:rPr>
                <w:rFonts w:ascii="仿宋" w:hAnsi="仿宋" w:eastAsia="仿宋"/>
                <w:sz w:val="24"/>
              </w:rPr>
            </w:pPr>
            <w:r>
              <w:rPr>
                <w:rFonts w:hint="eastAsia" w:ascii="仿宋" w:hAnsi="仿宋" w:eastAsia="仿宋"/>
                <w:sz w:val="24"/>
              </w:rPr>
              <w:t>人工</w:t>
            </w:r>
          </w:p>
        </w:tc>
        <w:tc>
          <w:tcPr>
            <w:tcW w:w="1723" w:type="dxa"/>
            <w:gridSpan w:val="2"/>
          </w:tcPr>
          <w:p>
            <w:pPr>
              <w:rPr>
                <w:rFonts w:ascii="仿宋" w:hAnsi="仿宋" w:eastAsia="仿宋"/>
                <w:sz w:val="24"/>
              </w:rPr>
            </w:pPr>
          </w:p>
          <w:p>
            <w:pPr>
              <w:ind w:firstLine="360" w:firstLineChars="150"/>
              <w:rPr>
                <w:rFonts w:ascii="仿宋" w:hAnsi="仿宋" w:eastAsia="仿宋"/>
                <w:sz w:val="24"/>
              </w:rPr>
            </w:pPr>
            <w:r>
              <w:rPr>
                <w:rFonts w:hint="eastAsia" w:ascii="仿宋" w:hAnsi="仿宋" w:eastAsia="仿宋"/>
                <w:sz w:val="24"/>
              </w:rPr>
              <w:t>-----</w:t>
            </w:r>
          </w:p>
        </w:tc>
        <w:tc>
          <w:tcPr>
            <w:tcW w:w="970" w:type="dxa"/>
            <w:vAlign w:val="center"/>
          </w:tcPr>
          <w:p>
            <w:pPr>
              <w:jc w:val="center"/>
              <w:rPr>
                <w:rFonts w:ascii="仿宋" w:hAnsi="仿宋" w:eastAsia="仿宋"/>
                <w:sz w:val="24"/>
              </w:rPr>
            </w:pPr>
          </w:p>
        </w:tc>
        <w:tc>
          <w:tcPr>
            <w:tcW w:w="993" w:type="dxa"/>
            <w:vAlign w:val="center"/>
          </w:tcPr>
          <w:p>
            <w:pPr>
              <w:jc w:val="center"/>
              <w:rPr>
                <w:rFonts w:ascii="仿宋" w:hAnsi="仿宋" w:eastAsia="仿宋"/>
                <w:sz w:val="24"/>
              </w:rPr>
            </w:pPr>
          </w:p>
        </w:tc>
        <w:tc>
          <w:tcPr>
            <w:tcW w:w="1282" w:type="dxa"/>
            <w:gridSpan w:val="2"/>
            <w:tcBorders>
              <w:right w:val="single" w:color="auto" w:sz="4" w:space="0"/>
            </w:tcBorders>
            <w:vAlign w:val="center"/>
          </w:tcPr>
          <w:p>
            <w:pPr>
              <w:jc w:val="center"/>
              <w:rPr>
                <w:rFonts w:ascii="仿宋" w:hAnsi="仿宋" w:eastAsia="仿宋"/>
                <w:sz w:val="24"/>
              </w:rPr>
            </w:pPr>
            <w:r>
              <w:rPr>
                <w:rFonts w:hint="eastAsia" w:ascii="仿宋" w:hAnsi="仿宋" w:eastAsia="仿宋"/>
                <w:sz w:val="24"/>
              </w:rPr>
              <w:t>-----</w:t>
            </w:r>
          </w:p>
        </w:tc>
        <w:tc>
          <w:tcPr>
            <w:tcW w:w="1185" w:type="dxa"/>
            <w:tcBorders>
              <w:left w:val="single" w:color="auto" w:sz="4" w:space="0"/>
              <w:right w:val="single" w:color="auto" w:sz="4" w:space="0"/>
            </w:tcBorders>
            <w:vAlign w:val="center"/>
          </w:tcPr>
          <w:p>
            <w:pPr>
              <w:jc w:val="center"/>
              <w:rPr>
                <w:rFonts w:ascii="仿宋" w:hAnsi="仿宋" w:eastAsia="仿宋"/>
                <w:sz w:val="24"/>
              </w:rPr>
            </w:pPr>
          </w:p>
        </w:tc>
        <w:tc>
          <w:tcPr>
            <w:tcW w:w="1218" w:type="dxa"/>
            <w:tcBorders>
              <w:left w:val="single" w:color="auto" w:sz="4" w:space="0"/>
            </w:tcBorders>
            <w:vAlign w:val="center"/>
          </w:tcPr>
          <w:p>
            <w:pPr>
              <w:jc w:val="cente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9" w:hRule="atLeast"/>
        </w:trPr>
        <w:tc>
          <w:tcPr>
            <w:tcW w:w="605" w:type="dxa"/>
            <w:vAlign w:val="center"/>
          </w:tcPr>
          <w:p>
            <w:pPr>
              <w:jc w:val="center"/>
              <w:rPr>
                <w:rFonts w:ascii="仿宋" w:hAnsi="仿宋" w:eastAsia="仿宋"/>
                <w:sz w:val="24"/>
              </w:rPr>
            </w:pPr>
            <w:r>
              <w:rPr>
                <w:rFonts w:hint="eastAsia" w:ascii="仿宋" w:hAnsi="仿宋" w:eastAsia="仿宋"/>
                <w:sz w:val="24"/>
              </w:rPr>
              <w:t>3</w:t>
            </w:r>
          </w:p>
        </w:tc>
        <w:tc>
          <w:tcPr>
            <w:tcW w:w="779" w:type="dxa"/>
            <w:vAlign w:val="center"/>
          </w:tcPr>
          <w:p>
            <w:pPr>
              <w:jc w:val="center"/>
              <w:rPr>
                <w:rFonts w:ascii="仿宋" w:hAnsi="仿宋" w:eastAsia="仿宋"/>
                <w:sz w:val="24"/>
              </w:rPr>
            </w:pPr>
            <w:r>
              <w:rPr>
                <w:rFonts w:hint="eastAsia" w:ascii="仿宋" w:hAnsi="仿宋" w:eastAsia="仿宋"/>
                <w:sz w:val="24"/>
              </w:rPr>
              <w:t>其他</w:t>
            </w:r>
          </w:p>
        </w:tc>
        <w:tc>
          <w:tcPr>
            <w:tcW w:w="1723" w:type="dxa"/>
            <w:gridSpan w:val="2"/>
          </w:tcPr>
          <w:p>
            <w:pPr>
              <w:rPr>
                <w:rFonts w:ascii="仿宋" w:hAnsi="仿宋" w:eastAsia="仿宋"/>
                <w:sz w:val="24"/>
              </w:rPr>
            </w:pPr>
          </w:p>
        </w:tc>
        <w:tc>
          <w:tcPr>
            <w:tcW w:w="970" w:type="dxa"/>
            <w:vAlign w:val="center"/>
          </w:tcPr>
          <w:p>
            <w:pPr>
              <w:jc w:val="center"/>
              <w:rPr>
                <w:rFonts w:ascii="仿宋" w:hAnsi="仿宋" w:eastAsia="仿宋"/>
                <w:sz w:val="24"/>
              </w:rPr>
            </w:pPr>
          </w:p>
        </w:tc>
        <w:tc>
          <w:tcPr>
            <w:tcW w:w="993" w:type="dxa"/>
            <w:vAlign w:val="center"/>
          </w:tcPr>
          <w:p>
            <w:pPr>
              <w:jc w:val="center"/>
              <w:rPr>
                <w:rFonts w:ascii="仿宋" w:hAnsi="仿宋" w:eastAsia="仿宋"/>
                <w:sz w:val="24"/>
              </w:rPr>
            </w:pPr>
          </w:p>
        </w:tc>
        <w:tc>
          <w:tcPr>
            <w:tcW w:w="1282" w:type="dxa"/>
            <w:gridSpan w:val="2"/>
            <w:tcBorders>
              <w:right w:val="single" w:color="auto" w:sz="4" w:space="0"/>
            </w:tcBorders>
            <w:vAlign w:val="center"/>
          </w:tcPr>
          <w:p>
            <w:pPr>
              <w:jc w:val="center"/>
              <w:rPr>
                <w:rFonts w:ascii="仿宋" w:hAnsi="仿宋" w:eastAsia="仿宋"/>
                <w:sz w:val="24"/>
              </w:rPr>
            </w:pPr>
          </w:p>
        </w:tc>
        <w:tc>
          <w:tcPr>
            <w:tcW w:w="1185" w:type="dxa"/>
            <w:tcBorders>
              <w:left w:val="single" w:color="auto" w:sz="4" w:space="0"/>
              <w:right w:val="single" w:color="auto" w:sz="4" w:space="0"/>
            </w:tcBorders>
            <w:vAlign w:val="center"/>
          </w:tcPr>
          <w:p>
            <w:pPr>
              <w:jc w:val="center"/>
              <w:rPr>
                <w:rFonts w:ascii="仿宋" w:hAnsi="仿宋" w:eastAsia="仿宋"/>
                <w:sz w:val="24"/>
              </w:rPr>
            </w:pPr>
          </w:p>
        </w:tc>
        <w:tc>
          <w:tcPr>
            <w:tcW w:w="1218" w:type="dxa"/>
            <w:tcBorders>
              <w:left w:val="single" w:color="auto" w:sz="4" w:space="0"/>
            </w:tcBorders>
            <w:vAlign w:val="center"/>
          </w:tcPr>
          <w:p>
            <w:pPr>
              <w:jc w:val="center"/>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 w:hRule="atLeast"/>
        </w:trPr>
        <w:tc>
          <w:tcPr>
            <w:tcW w:w="8755" w:type="dxa"/>
            <w:gridSpan w:val="10"/>
          </w:tcPr>
          <w:p>
            <w:pPr>
              <w:rPr>
                <w:rFonts w:ascii="仿宋" w:hAnsi="仿宋" w:eastAsia="仿宋"/>
                <w:b/>
                <w:sz w:val="30"/>
                <w:szCs w:val="30"/>
              </w:rPr>
            </w:pPr>
            <w:r>
              <w:rPr>
                <w:rFonts w:hint="eastAsia" w:ascii="仿宋" w:hAnsi="仿宋" w:eastAsia="仿宋"/>
                <w:b/>
                <w:sz w:val="30"/>
                <w:szCs w:val="30"/>
              </w:rPr>
              <w:t>总价（含税）：　　　　　　　　　　　　　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trPr>
        <w:tc>
          <w:tcPr>
            <w:tcW w:w="1394" w:type="dxa"/>
            <w:gridSpan w:val="3"/>
          </w:tcPr>
          <w:p>
            <w:pPr>
              <w:rPr>
                <w:rFonts w:ascii="仿宋" w:hAnsi="仿宋" w:eastAsia="仿宋"/>
                <w:sz w:val="24"/>
              </w:rPr>
            </w:pPr>
            <w:r>
              <w:rPr>
                <w:rFonts w:ascii="仿宋" w:hAnsi="仿宋" w:eastAsia="仿宋"/>
                <w:sz w:val="24"/>
              </w:rPr>
              <w:t>编制说明：</w:t>
            </w:r>
          </w:p>
        </w:tc>
        <w:tc>
          <w:tcPr>
            <w:tcW w:w="7361" w:type="dxa"/>
            <w:gridSpan w:val="7"/>
          </w:tcPr>
          <w:p>
            <w:pPr>
              <w:rPr>
                <w:rFonts w:ascii="仿宋" w:hAnsi="仿宋" w:eastAsia="仿宋"/>
                <w:sz w:val="24"/>
              </w:rPr>
            </w:pPr>
            <w:r>
              <w:rPr>
                <w:rFonts w:hint="eastAsia" w:ascii="仿宋" w:hAnsi="仿宋" w:eastAsia="仿宋"/>
                <w:sz w:val="24"/>
              </w:rPr>
              <w:t>施工期间安全责任由中标单位自行负责,发生任何安全事故与招标单位无关。</w:t>
            </w:r>
          </w:p>
        </w:tc>
      </w:tr>
    </w:tbl>
    <w:p>
      <w:pPr>
        <w:rPr>
          <w:rFonts w:hint="eastAsia" w:ascii="仿宋" w:hAnsi="仿宋" w:eastAsia="仿宋"/>
          <w:b/>
          <w:color w:val="000000" w:themeColor="text1"/>
          <w:sz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5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B6AAE"/>
    <w:rsid w:val="004D1CA9"/>
    <w:rsid w:val="005662E9"/>
    <w:rsid w:val="00575542"/>
    <w:rsid w:val="0058599D"/>
    <w:rsid w:val="00586D4A"/>
    <w:rsid w:val="00592BC5"/>
    <w:rsid w:val="005C748B"/>
    <w:rsid w:val="005E5FE6"/>
    <w:rsid w:val="006A6780"/>
    <w:rsid w:val="006B3E13"/>
    <w:rsid w:val="00726112"/>
    <w:rsid w:val="007604DF"/>
    <w:rsid w:val="00764063"/>
    <w:rsid w:val="007A0118"/>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E1956"/>
    <w:rsid w:val="00BF39E4"/>
    <w:rsid w:val="00C230B2"/>
    <w:rsid w:val="00C3771B"/>
    <w:rsid w:val="00C82A33"/>
    <w:rsid w:val="00C92B37"/>
    <w:rsid w:val="00CE2025"/>
    <w:rsid w:val="00D67147"/>
    <w:rsid w:val="00D6775E"/>
    <w:rsid w:val="00DB1355"/>
    <w:rsid w:val="00DC5BC7"/>
    <w:rsid w:val="00DD7ECF"/>
    <w:rsid w:val="00E8391C"/>
    <w:rsid w:val="00E928C7"/>
    <w:rsid w:val="00F05153"/>
    <w:rsid w:val="00F55C88"/>
    <w:rsid w:val="00F6525C"/>
    <w:rsid w:val="00F91C75"/>
    <w:rsid w:val="00FB295B"/>
    <w:rsid w:val="00FE74EC"/>
    <w:rsid w:val="02D930CF"/>
    <w:rsid w:val="039A4537"/>
    <w:rsid w:val="06E32B73"/>
    <w:rsid w:val="0ABD5BA0"/>
    <w:rsid w:val="0D5C4769"/>
    <w:rsid w:val="0F413746"/>
    <w:rsid w:val="11E91552"/>
    <w:rsid w:val="1407008B"/>
    <w:rsid w:val="17B92F10"/>
    <w:rsid w:val="1D7E47CC"/>
    <w:rsid w:val="1EEE53EA"/>
    <w:rsid w:val="20B120D5"/>
    <w:rsid w:val="261F562C"/>
    <w:rsid w:val="28EB0CF8"/>
    <w:rsid w:val="2927562A"/>
    <w:rsid w:val="2A61691A"/>
    <w:rsid w:val="2AC24DF5"/>
    <w:rsid w:val="2B234D57"/>
    <w:rsid w:val="2DB97E61"/>
    <w:rsid w:val="2ED578D6"/>
    <w:rsid w:val="302F00B3"/>
    <w:rsid w:val="339B5E39"/>
    <w:rsid w:val="33D91C17"/>
    <w:rsid w:val="38807B07"/>
    <w:rsid w:val="389F10A1"/>
    <w:rsid w:val="38F018EE"/>
    <w:rsid w:val="396D003B"/>
    <w:rsid w:val="477F13E1"/>
    <w:rsid w:val="4C9269AF"/>
    <w:rsid w:val="4CF229A2"/>
    <w:rsid w:val="4D094EC3"/>
    <w:rsid w:val="4FAD5FDA"/>
    <w:rsid w:val="50914CAD"/>
    <w:rsid w:val="5A68577B"/>
    <w:rsid w:val="5B310E99"/>
    <w:rsid w:val="5F2B74DB"/>
    <w:rsid w:val="623000AB"/>
    <w:rsid w:val="62CF5C7E"/>
    <w:rsid w:val="69F03EBF"/>
    <w:rsid w:val="6D6C185A"/>
    <w:rsid w:val="6D9C02B0"/>
    <w:rsid w:val="73BD0A2D"/>
    <w:rsid w:val="774D5769"/>
    <w:rsid w:val="7975290A"/>
    <w:rsid w:val="7B1C1B37"/>
    <w:rsid w:val="7B3311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1087</Words>
  <Characters>1122</Characters>
  <Lines>7</Lines>
  <Paragraphs>2</Paragraphs>
  <TotalTime>1</TotalTime>
  <ScaleCrop>false</ScaleCrop>
  <LinksUpToDate>false</LinksUpToDate>
  <CharactersWithSpaces>1140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2023-05-29T02:51:00Z</dcterms:created>
  <dc:creator>b a</dc:creator>
  <cp:lastModifiedBy>刘虍</cp:lastModifiedBy>
  <dcterms:modified xsi:type="dcterms:W3CDTF">2024-05-31T06:53:53Z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B3D614B5D6DA4A72AB695779E70F1184_13</vt:lpwstr>
  </property>
</Properties>
</file>