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45" w:rsidRDefault="00957415">
      <w:pPr>
        <w:spacing w:beforeLines="100" w:before="312" w:afterLines="100" w:after="312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关于对</w:t>
      </w:r>
      <w:proofErr w:type="gramStart"/>
      <w:r>
        <w:rPr>
          <w:rFonts w:ascii="方正小标宋简体" w:eastAsia="方正小标宋简体" w:hAnsi="仿宋" w:cstheme="minorBidi" w:hint="eastAsia"/>
          <w:sz w:val="44"/>
          <w:szCs w:val="44"/>
        </w:rPr>
        <w:t>肿瘤楼</w:t>
      </w:r>
      <w:proofErr w:type="gramEnd"/>
      <w:r>
        <w:rPr>
          <w:rFonts w:ascii="方正小标宋简体" w:eastAsia="方正小标宋简体" w:hAnsi="仿宋" w:cstheme="minorBidi" w:hint="eastAsia"/>
          <w:sz w:val="44"/>
          <w:szCs w:val="44"/>
        </w:rPr>
        <w:t>应急照明筒灯更换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3E5445" w:rsidRDefault="00957415">
      <w:pPr>
        <w:spacing w:beforeLines="100" w:before="312" w:afterLines="100" w:after="312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比价遴选供应商的通知</w:t>
      </w:r>
    </w:p>
    <w:p w:rsidR="003E5445" w:rsidRDefault="0095741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江苏大学附属医院总务处对</w:t>
      </w:r>
      <w:proofErr w:type="gramStart"/>
      <w:r>
        <w:rPr>
          <w:rFonts w:ascii="仿宋" w:eastAsia="仿宋" w:hAnsi="仿宋" w:hint="eastAsia"/>
          <w:color w:val="000000" w:themeColor="text1"/>
          <w:sz w:val="32"/>
        </w:rPr>
        <w:t>肿瘤楼</w:t>
      </w:r>
      <w:proofErr w:type="gramEnd"/>
      <w:r>
        <w:rPr>
          <w:rFonts w:ascii="仿宋" w:eastAsia="仿宋" w:hAnsi="仿宋" w:hint="eastAsia"/>
          <w:color w:val="000000" w:themeColor="text1"/>
          <w:sz w:val="32"/>
        </w:rPr>
        <w:t>应急照明筒灯更换</w:t>
      </w:r>
      <w:r>
        <w:rPr>
          <w:rFonts w:ascii="仿宋" w:eastAsia="仿宋" w:hAnsi="仿宋" w:hint="eastAsia"/>
          <w:color w:val="000000" w:themeColor="text1"/>
          <w:sz w:val="32"/>
        </w:rPr>
        <w:t>项目进行比价遴选供应商</w:t>
      </w:r>
      <w:r>
        <w:rPr>
          <w:rFonts w:ascii="仿宋" w:eastAsia="仿宋" w:hAnsi="仿宋"/>
          <w:color w:val="000000" w:themeColor="text1"/>
          <w:sz w:val="32"/>
        </w:rPr>
        <w:t>,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3E5445" w:rsidRDefault="0095741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proofErr w:type="gramStart"/>
      <w:r>
        <w:rPr>
          <w:rFonts w:ascii="仿宋" w:eastAsia="仿宋" w:hAnsi="仿宋" w:hint="eastAsia"/>
          <w:color w:val="000000" w:themeColor="text1"/>
          <w:sz w:val="32"/>
        </w:rPr>
        <w:t>肿瘤楼</w:t>
      </w:r>
      <w:proofErr w:type="gramEnd"/>
      <w:r>
        <w:rPr>
          <w:rFonts w:ascii="仿宋" w:eastAsia="仿宋" w:hAnsi="仿宋" w:hint="eastAsia"/>
          <w:color w:val="000000" w:themeColor="text1"/>
          <w:sz w:val="32"/>
        </w:rPr>
        <w:t>应急照明筒灯更换</w:t>
      </w:r>
      <w:r>
        <w:rPr>
          <w:rFonts w:ascii="仿宋" w:eastAsia="仿宋" w:hAnsi="仿宋" w:hint="eastAsia"/>
          <w:color w:val="000000" w:themeColor="text1"/>
          <w:sz w:val="32"/>
        </w:rPr>
        <w:t>项目</w:t>
      </w:r>
      <w:r>
        <w:rPr>
          <w:rFonts w:ascii="仿宋" w:eastAsia="仿宋" w:hAnsi="仿宋" w:hint="eastAsia"/>
          <w:color w:val="000000" w:themeColor="text1"/>
          <w:sz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</w:rPr>
        <w:t>批量更换</w:t>
      </w:r>
      <w:r>
        <w:rPr>
          <w:rFonts w:ascii="仿宋" w:eastAsia="仿宋" w:hAnsi="仿宋" w:hint="eastAsia"/>
          <w:color w:val="000000" w:themeColor="text1"/>
          <w:sz w:val="32"/>
        </w:rPr>
        <w:t>）。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现场自行勘察或与联系人联系</w:t>
      </w:r>
      <w:r w:rsidR="00E439A7">
        <w:rPr>
          <w:rFonts w:ascii="仿宋" w:eastAsia="仿宋" w:hAnsi="仿宋" w:hint="eastAsia"/>
          <w:sz w:val="30"/>
          <w:szCs w:val="30"/>
        </w:rPr>
        <w:t>（</w:t>
      </w:r>
      <w:r w:rsidR="00E439A7">
        <w:rPr>
          <w:rFonts w:ascii="仿宋" w:eastAsia="仿宋" w:hAnsi="仿宋" w:hint="eastAsia"/>
          <w:sz w:val="32"/>
          <w:szCs w:val="32"/>
        </w:rPr>
        <w:t>赵老师 15706100500</w:t>
      </w:r>
      <w:r w:rsidR="00E439A7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勘察现场。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施工方案由施工单位自拟，确保维修质量和施工安全。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>
        <w:rPr>
          <w:rFonts w:ascii="仿宋" w:eastAsia="仿宋" w:hAnsi="仿宋" w:cs="宋体" w:hint="eastAsia"/>
          <w:kern w:val="0"/>
          <w:sz w:val="30"/>
          <w:szCs w:val="30"/>
        </w:rPr>
        <w:t>按行业规程施工，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服从院方安排，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</w:t>
      </w: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>
        <w:rPr>
          <w:rFonts w:ascii="仿宋" w:eastAsia="仿宋" w:hAnsi="仿宋" w:cs="宋体" w:hint="eastAsia"/>
          <w:kern w:val="0"/>
          <w:sz w:val="30"/>
          <w:szCs w:val="30"/>
        </w:rPr>
        <w:t>接到中标通知后，工期</w:t>
      </w: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>
        <w:rPr>
          <w:rFonts w:ascii="仿宋" w:eastAsia="仿宋" w:hAnsi="仿宋" w:hint="eastAsia"/>
          <w:sz w:val="30"/>
          <w:szCs w:val="30"/>
        </w:rPr>
        <w:t>维修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>
        <w:rPr>
          <w:rFonts w:ascii="仿宋" w:eastAsia="仿宋" w:hAnsi="仿宋" w:cs="宋体" w:hint="eastAsia"/>
          <w:kern w:val="0"/>
          <w:sz w:val="30"/>
          <w:szCs w:val="30"/>
        </w:rPr>
        <w:t>施工期间安全责任由中标单位自行负责</w:t>
      </w:r>
      <w:r>
        <w:rPr>
          <w:rFonts w:ascii="仿宋" w:eastAsia="仿宋" w:hAnsi="仿宋" w:cs="宋体" w:hint="eastAsia"/>
          <w:kern w:val="0"/>
          <w:sz w:val="30"/>
          <w:szCs w:val="30"/>
        </w:rPr>
        <w:t>,</w:t>
      </w:r>
      <w:r>
        <w:rPr>
          <w:rFonts w:ascii="仿宋" w:eastAsia="仿宋" w:hAnsi="仿宋" w:cs="宋体" w:hint="eastAsia"/>
          <w:kern w:val="0"/>
          <w:sz w:val="30"/>
          <w:szCs w:val="30"/>
        </w:rPr>
        <w:t>发生任何安全事故与招标单位无关。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3E5445" w:rsidRDefault="00957415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>
        <w:rPr>
          <w:rFonts w:ascii="仿宋" w:eastAsia="仿宋" w:hAnsi="仿宋" w:cs="宋体" w:hint="eastAsia"/>
          <w:kern w:val="0"/>
          <w:sz w:val="30"/>
          <w:szCs w:val="30"/>
        </w:rPr>
        <w:t>验收标准：</w:t>
      </w:r>
      <w:r>
        <w:rPr>
          <w:rFonts w:ascii="仿宋" w:eastAsia="仿宋" w:hAnsi="仿宋" w:cs="宋体" w:hint="eastAsia"/>
          <w:kern w:val="0"/>
          <w:sz w:val="30"/>
          <w:szCs w:val="30"/>
        </w:rPr>
        <w:t>合格</w:t>
      </w:r>
    </w:p>
    <w:p w:rsidR="003E5445" w:rsidRDefault="0095741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</w:t>
      </w:r>
      <w:r>
        <w:rPr>
          <w:rFonts w:ascii="仿宋" w:eastAsia="仿宋" w:hAnsi="仿宋" w:cs="宋体" w:hint="eastAsia"/>
          <w:kern w:val="0"/>
          <w:sz w:val="30"/>
          <w:szCs w:val="30"/>
        </w:rPr>
        <w:t>费用结算：经验收合格，三个月后一次性结算。</w:t>
      </w:r>
    </w:p>
    <w:p w:rsidR="003E5445" w:rsidRDefault="00957415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3E5445" w:rsidRDefault="0095741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3E5445" w:rsidRDefault="0095741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lastRenderedPageBreak/>
        <w:t>三、投标人资质要求：</w:t>
      </w:r>
    </w:p>
    <w:p w:rsidR="003E5445" w:rsidRDefault="0095741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消防维保检测资质或消防设施工程专业承包贰级及以上资质。</w:t>
      </w:r>
    </w:p>
    <w:p w:rsidR="003E5445" w:rsidRDefault="00957415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3E5445" w:rsidRDefault="0095741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3E5445" w:rsidRDefault="0095741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满足比价文件实质性要求的单位数量达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家及以上的，由最低报价的投标单位中标。若最低报价的投标单位有两家及以上，则采用抓阄方式，确定中标单位；</w:t>
      </w:r>
    </w:p>
    <w:p w:rsidR="003E5445" w:rsidRDefault="00957415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转变采购方式，采用竞争性谈判的采购方式，确定中标单位；</w:t>
      </w:r>
    </w:p>
    <w:p w:rsidR="003E5445" w:rsidRDefault="00957415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满足比价文件实质性要求的单位数量仅有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家的，</w:t>
      </w:r>
      <w:proofErr w:type="gramStart"/>
      <w:r>
        <w:rPr>
          <w:rFonts w:ascii="仿宋" w:eastAsia="仿宋" w:hAnsi="仿宋" w:hint="eastAsia"/>
          <w:sz w:val="30"/>
          <w:szCs w:val="30"/>
        </w:rPr>
        <w:t>则现场</w:t>
      </w:r>
      <w:proofErr w:type="gramEnd"/>
      <w:r>
        <w:rPr>
          <w:rFonts w:ascii="仿宋" w:eastAsia="仿宋" w:hAnsi="仿宋" w:hint="eastAsia"/>
          <w:sz w:val="30"/>
          <w:szCs w:val="30"/>
        </w:rPr>
        <w:t>转变采购方式，采用单一来源谈判的采购方式，确定中标单位。</w:t>
      </w:r>
    </w:p>
    <w:p w:rsidR="003E5445" w:rsidRDefault="0095741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附：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605"/>
        <w:gridCol w:w="1159"/>
        <w:gridCol w:w="1560"/>
        <w:gridCol w:w="753"/>
        <w:gridCol w:w="852"/>
        <w:gridCol w:w="1416"/>
        <w:gridCol w:w="7"/>
        <w:gridCol w:w="1185"/>
        <w:gridCol w:w="1218"/>
      </w:tblGrid>
      <w:tr w:rsidR="003E5445">
        <w:trPr>
          <w:trHeight w:val="767"/>
        </w:trPr>
        <w:tc>
          <w:tcPr>
            <w:tcW w:w="8755" w:type="dxa"/>
            <w:gridSpan w:val="9"/>
          </w:tcPr>
          <w:p w:rsidR="003E5445" w:rsidRDefault="00957415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/>
                <w:sz w:val="44"/>
                <w:szCs w:val="44"/>
              </w:rPr>
              <w:t>报价清单</w:t>
            </w:r>
          </w:p>
        </w:tc>
      </w:tr>
      <w:tr w:rsidR="003E5445">
        <w:trPr>
          <w:trHeight w:val="374"/>
        </w:trPr>
        <w:tc>
          <w:tcPr>
            <w:tcW w:w="1764" w:type="dxa"/>
            <w:gridSpan w:val="2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165" w:type="dxa"/>
            <w:gridSpan w:val="3"/>
            <w:vAlign w:val="center"/>
          </w:tcPr>
          <w:p w:rsidR="003E5445" w:rsidRDefault="003E544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5445">
        <w:trPr>
          <w:trHeight w:val="785"/>
        </w:trPr>
        <w:tc>
          <w:tcPr>
            <w:tcW w:w="605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1560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型号及规格</w:t>
            </w:r>
          </w:p>
        </w:tc>
        <w:tc>
          <w:tcPr>
            <w:tcW w:w="753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</w:t>
            </w:r>
          </w:p>
        </w:tc>
        <w:tc>
          <w:tcPr>
            <w:tcW w:w="852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</w:t>
            </w:r>
          </w:p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合价</w:t>
            </w:r>
          </w:p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（元）</w:t>
            </w:r>
          </w:p>
        </w:tc>
      </w:tr>
      <w:tr w:rsidR="003E5445">
        <w:trPr>
          <w:trHeight w:val="1203"/>
        </w:trPr>
        <w:tc>
          <w:tcPr>
            <w:tcW w:w="605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应急照明筒灯</w:t>
            </w:r>
          </w:p>
        </w:tc>
        <w:tc>
          <w:tcPr>
            <w:tcW w:w="1560" w:type="dxa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寸</w:t>
            </w:r>
            <w:r>
              <w:rPr>
                <w:rFonts w:ascii="仿宋" w:eastAsia="仿宋" w:hAnsi="仿宋" w:hint="eastAsia"/>
                <w:sz w:val="24"/>
              </w:rPr>
              <w:t>E8W</w:t>
            </w:r>
          </w:p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自电自控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型</w:t>
            </w:r>
          </w:p>
        </w:tc>
        <w:tc>
          <w:tcPr>
            <w:tcW w:w="753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只</w:t>
            </w:r>
          </w:p>
        </w:tc>
        <w:tc>
          <w:tcPr>
            <w:tcW w:w="852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5445">
        <w:trPr>
          <w:trHeight w:val="1159"/>
        </w:trPr>
        <w:tc>
          <w:tcPr>
            <w:tcW w:w="605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安装</w:t>
            </w:r>
          </w:p>
        </w:tc>
        <w:tc>
          <w:tcPr>
            <w:tcW w:w="1560" w:type="dxa"/>
          </w:tcPr>
          <w:p w:rsidR="003E5445" w:rsidRDefault="003E5445">
            <w:pPr>
              <w:rPr>
                <w:rFonts w:ascii="仿宋" w:eastAsia="仿宋" w:hAnsi="仿宋"/>
                <w:sz w:val="24"/>
              </w:rPr>
            </w:pPr>
          </w:p>
          <w:p w:rsidR="003E5445" w:rsidRDefault="003E5445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5445">
        <w:trPr>
          <w:trHeight w:val="1159"/>
        </w:trPr>
        <w:tc>
          <w:tcPr>
            <w:tcW w:w="605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59" w:type="dxa"/>
            <w:vAlign w:val="center"/>
          </w:tcPr>
          <w:p w:rsidR="003E5445" w:rsidRDefault="0095741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560" w:type="dxa"/>
          </w:tcPr>
          <w:p w:rsidR="003E5445" w:rsidRDefault="003E544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3E5445" w:rsidRDefault="003E54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5445">
        <w:trPr>
          <w:trHeight w:val="687"/>
        </w:trPr>
        <w:tc>
          <w:tcPr>
            <w:tcW w:w="8755" w:type="dxa"/>
            <w:gridSpan w:val="9"/>
          </w:tcPr>
          <w:p w:rsidR="003E5445" w:rsidRDefault="00957415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:rsidR="003E5445">
        <w:trPr>
          <w:trHeight w:val="451"/>
        </w:trPr>
        <w:tc>
          <w:tcPr>
            <w:tcW w:w="1764" w:type="dxa"/>
            <w:gridSpan w:val="2"/>
          </w:tcPr>
          <w:p w:rsidR="003E5445" w:rsidRDefault="0095741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6991" w:type="dxa"/>
            <w:gridSpan w:val="7"/>
          </w:tcPr>
          <w:p w:rsidR="003E5445" w:rsidRDefault="0095741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施工期间安全责任由中标单位自行负责</w:t>
            </w:r>
            <w:r>
              <w:rPr>
                <w:rFonts w:ascii="仿宋" w:eastAsia="仿宋" w:hAnsi="仿宋" w:hint="eastAsia"/>
                <w:sz w:val="24"/>
              </w:rPr>
              <w:t>,</w:t>
            </w:r>
            <w:r>
              <w:rPr>
                <w:rFonts w:ascii="仿宋" w:eastAsia="仿宋" w:hAnsi="仿宋" w:hint="eastAsia"/>
                <w:sz w:val="24"/>
              </w:rPr>
              <w:t>发生任何安全事故与招标单位无关。</w:t>
            </w:r>
          </w:p>
        </w:tc>
      </w:tr>
    </w:tbl>
    <w:p w:rsidR="003E5445" w:rsidRDefault="003E5445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3E54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15" w:rsidRDefault="00957415" w:rsidP="00E439A7">
      <w:r>
        <w:separator/>
      </w:r>
    </w:p>
  </w:endnote>
  <w:endnote w:type="continuationSeparator" w:id="0">
    <w:p w:rsidR="00957415" w:rsidRDefault="00957415" w:rsidP="00E4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15" w:rsidRDefault="00957415" w:rsidP="00E439A7">
      <w:r>
        <w:separator/>
      </w:r>
    </w:p>
  </w:footnote>
  <w:footnote w:type="continuationSeparator" w:id="0">
    <w:p w:rsidR="00957415" w:rsidRDefault="00957415" w:rsidP="00E43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YmJjMzUxYTAwZWFjM2I4MmU3YWYwYjgyY2ViMGYifQ=="/>
  </w:docVars>
  <w:rsids>
    <w:rsidRoot w:val="06543448"/>
    <w:rsid w:val="00062588"/>
    <w:rsid w:val="00086438"/>
    <w:rsid w:val="00092008"/>
    <w:rsid w:val="00095F72"/>
    <w:rsid w:val="000A186D"/>
    <w:rsid w:val="000A58D0"/>
    <w:rsid w:val="000A7ABE"/>
    <w:rsid w:val="000C2B3B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45F74"/>
    <w:rsid w:val="0025367D"/>
    <w:rsid w:val="00281034"/>
    <w:rsid w:val="002B7857"/>
    <w:rsid w:val="0036283A"/>
    <w:rsid w:val="0037616E"/>
    <w:rsid w:val="00384704"/>
    <w:rsid w:val="00395945"/>
    <w:rsid w:val="003C282F"/>
    <w:rsid w:val="003E4818"/>
    <w:rsid w:val="003E5445"/>
    <w:rsid w:val="003F1741"/>
    <w:rsid w:val="00405F30"/>
    <w:rsid w:val="00414913"/>
    <w:rsid w:val="0044066C"/>
    <w:rsid w:val="00446BAE"/>
    <w:rsid w:val="004552D8"/>
    <w:rsid w:val="00484286"/>
    <w:rsid w:val="00484B47"/>
    <w:rsid w:val="004A2B4F"/>
    <w:rsid w:val="004A6BF7"/>
    <w:rsid w:val="004B0629"/>
    <w:rsid w:val="004F4572"/>
    <w:rsid w:val="00510203"/>
    <w:rsid w:val="00517F1D"/>
    <w:rsid w:val="005275A4"/>
    <w:rsid w:val="005574F6"/>
    <w:rsid w:val="005812C1"/>
    <w:rsid w:val="005A2496"/>
    <w:rsid w:val="005A2A7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57415"/>
    <w:rsid w:val="00971917"/>
    <w:rsid w:val="009839F7"/>
    <w:rsid w:val="00992374"/>
    <w:rsid w:val="009B6914"/>
    <w:rsid w:val="009C70E6"/>
    <w:rsid w:val="009E59DC"/>
    <w:rsid w:val="00A41D50"/>
    <w:rsid w:val="00A41ED7"/>
    <w:rsid w:val="00A42EAF"/>
    <w:rsid w:val="00A4636E"/>
    <w:rsid w:val="00A66677"/>
    <w:rsid w:val="00A75B1D"/>
    <w:rsid w:val="00AA298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B2158"/>
    <w:rsid w:val="00DB348C"/>
    <w:rsid w:val="00DE6630"/>
    <w:rsid w:val="00DF5E42"/>
    <w:rsid w:val="00E14FF0"/>
    <w:rsid w:val="00E236CE"/>
    <w:rsid w:val="00E31D01"/>
    <w:rsid w:val="00E439A7"/>
    <w:rsid w:val="00E51664"/>
    <w:rsid w:val="00E87A9E"/>
    <w:rsid w:val="00EB17F3"/>
    <w:rsid w:val="00EB7968"/>
    <w:rsid w:val="00F0174F"/>
    <w:rsid w:val="00F34F7B"/>
    <w:rsid w:val="00F3697F"/>
    <w:rsid w:val="00F46629"/>
    <w:rsid w:val="00FA1BAB"/>
    <w:rsid w:val="00FC4229"/>
    <w:rsid w:val="06543448"/>
    <w:rsid w:val="06567765"/>
    <w:rsid w:val="16D63B17"/>
    <w:rsid w:val="768179CE"/>
    <w:rsid w:val="791C7D3B"/>
    <w:rsid w:val="799D193E"/>
    <w:rsid w:val="7FA1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116</cp:revision>
  <cp:lastPrinted>2023-08-31T00:31:00Z</cp:lastPrinted>
  <dcterms:created xsi:type="dcterms:W3CDTF">2022-10-20T01:32:00Z</dcterms:created>
  <dcterms:modified xsi:type="dcterms:W3CDTF">2024-04-11T01:19:00Z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E34DF787B5BF4E0585C9CA72B9AC843E_13</vt:lpwstr>
  </property>
</Properties>
</file>